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8C_531/2012 vom 4. Juni 2013</w:t>
      </w:r>
    </w:p>
    <w:p>
      <w:r>
        <w:t>Bundesgericht, 2013-06-04, FR</w:t>
      </w:r>
    </w:p>
    <w:p>
      <w:r>
        <w:rPr>
          <w:b/>
        </w:rPr>
        <w:t xml:space="preserve">Quelle: </w:t>
      </w:r>
      <w:r>
        <w:t>https://mcp.opencaselaw.ch/entscheid/bger_8C_531_2012</w:t>
      </w:r>
    </w:p>
    <w:p>
      <w:r>
        <w:t>FR: TF 8C_531/2012 du 4 juin 2013</w:t>
      </w:r>
    </w:p>
    <w:p>
      <w:r>
        <w:t>IT: TF 8C_531/2012 del 4 giugno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en droit, par sa décision sur opposition du 24 février 2011, de refuser d'allouer ses prestations de l'assurance-accidents (frais de traitement, indemnité journalière) pour les suites de l'hémarthrose au genou droit.</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n°1 p. 1, 8C_584/2009 consid. 4).</w:t>
      </w:r>
    </w:p>
    <w:p>
      <w:r>
        <w:rPr>
          <w:b/>
        </w:rPr>
        <w:t>E. 3.1</w:t>
      </w:r>
    </w:p>
    <w:p>
      <w:r>
        <w:t>La juridiction cantonale a confirmé le point de vue de la Vaudoise, selon lequel les suites de l'hémarthrose au genou droit ne sauraient être prises en charge au titre de l'assurance-accidents obligatoire. Elle a considéré que l'évènement survenu lors de la marche effectuée le 17 janvier 2010 ne constituait pas un accident, étant donné l'absence d'une cause extérieure extraordinaire au sens de l' art. 4 LPGA , et qu'il n'était pas non plus à l'origine d'une lésion corporelle assimilée à un accident au sens de l' art. 9 al. 2 OLAA .</w:t>
      </w:r>
    </w:p>
    <w:p>
      <w:r>
        <w:rPr>
          <w:b/>
        </w:rPr>
        <w:t>E. 3.2</w:t>
      </w:r>
    </w:p>
    <w:p>
      <w:r>
        <w:t>Par un premier moyen, la recourante fait valoir que la condition du facteur extérieur de caractère extraordinaire est en l'occurrence réalisée, de sorte que l'existence d'un accident est avérée.</w:t>
      </w:r>
    </w:p>
    <w:p>
      <w:r>
        <w:t>Les arguments avancés à l'appui de ce point de vue ne sont toutefois pas de nature à infirmer les conclusions de la juridiction précédente. En particulier, il n'y a rien dans le déroulement des faits décrits par l'assuré qui permette de conclure à l'existence d'un mouvement non coordonné à l'origine de l'affection subie. Au demeurant, celle-ci ne constitue pas non plus une lésion corporelle assimilée à un accident. D'ailleurs la recourante ne le prétend pas.</w:t>
      </w:r>
    </w:p>
    <w:p>
      <w:r>
        <w:rPr>
          <w:b/>
        </w:rPr>
        <w:t>E. 4.1</w:t>
      </w:r>
    </w:p>
    <w:p>
      <w:r>
        <w:t>Par un second moyen, la recourante allègue que l'assureur-accidents ne pouvait se prévaloir d'aucun motif prévu à l' art. 53 LPGA (révision procédurale ou reconsidération) pour revenir sur sa "décision" du 7 juin 2010 par laquelle il avait accepté de prendre en charge les suites de l'hémarthrose au genou droit. Par ailleurs, contrairement au point de vue de la juridiction cantonale, la recourante est d'avis que la décision ultérieure de refus des prestations a un effetex tuncet non pas un effetex nunc et pro futuro. En effet, si l'assureur-accidents n'avait encore alloué aucune prestation au moment où il a rendu sa décision de refus c'est uniquement pour le motif que l'assureur-maladie avait pris en charge le cas provisoirement, conformément à l' art. 70 LPGA .</w:t>
      </w:r>
    </w:p>
    <w:p>
      <w:r>
        <w:rPr>
          <w:b/>
        </w:rPr>
        <w:t>E. 4.2</w:t>
      </w:r>
    </w:p>
    <w:p>
      <w:r>
        <w:t>Ce moyen est mal fondé. Le courrier du 7 juin 2010 auquel se réfère la recourante est une simple lettre d'information adressée à l'employeur avec copie à l'assuré, de sorte qu'il ne saurait avoir les effets d'une décision formelle entrée en force ni établir un droit à la protection de la bonne foi dont les conditions ne sont pas réalisées en l'occurrence. Par ailleurs, du moment qu'elle n'avait encore alloué aucune prestation, l'intimée pouvait, sans devoir invoquer un motif de reconsidération ou de révision procédurale, nier son obligation de prendre en charge le cas en alléguant le fait que l'évènement assuré - selon une appréciation correcte de la situation - n'était jamais survenu ( ATF 130 V 380 consid. 2.3.1 p. 384).</w:t>
      </w:r>
    </w:p>
    <w:p>
      <w:r>
        <w:rPr>
          <w:b/>
        </w:rPr>
        <w:t>E. 5</w:t>
      </w:r>
    </w:p>
    <w:p>
      <w:r>
        <w:t>Vu ce qui précède, le jugement attaqué n'est pas critiquable et le recours se révèle manifestement infondé. Dès lors, il convient de liquider la cause selon la procédure simplifiée prévue à l' art. 109 al. 2 LTF .</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