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8C_529/2021 vom 8. Oktober 2021</w:t>
      </w:r>
    </w:p>
    <w:p>
      <w:r>
        <w:t>Bundesgericht, 2021-10-08, DE</w:t>
      </w:r>
    </w:p>
    <w:p>
      <w:r>
        <w:rPr>
          <w:b/>
        </w:rPr>
        <w:t xml:space="preserve">Quelle: </w:t>
      </w:r>
      <w:r>
        <w:t>https://mcp.opencaselaw.ch/entscheid/bger_8C_529_2021</w:t>
      </w:r>
    </w:p>
    <w:p>
      <w:r>
        <w:t>FR: TF 8C_529/2021 du 8 octobre 2021</w:t>
      </w:r>
    </w:p>
    <w:p>
      <w:r>
        <w:t>IT: TF 8C_529/2021 del 8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BGE 145 V 215 E. 1.1).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8C_151/2021 vom 30. April 2021 E. 2.1 mit Hinweisen).</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w:t>
      </w:r>
    </w:p>
    <w:p>
      <w:r>
        <w:rPr>
          <w:b/>
        </w:rPr>
        <w:t>E. 1.3</w:t>
      </w:r>
    </w:p>
    <w:p>
      <w:r>
        <w:t>Bei den vorinstanzlichen Feststellungen zum Gesundheitszustand und zur Arbeitsfähigkeit der versicherten Person sowie bei der konkreten Beweiswürdigung handelt es sich grundsätzlich um Entscheidungen über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Streitig ist, ob das kantonale Gericht Bundesrecht verletzte, indem es die rentenablehnende Verfügung der Beschwerdegegnerin vom 17. Dezember 2020 bestätigte.</w:t>
      </w:r>
    </w:p>
    <w:p>
      <w:r>
        <w:rPr>
          <w:b/>
        </w:rPr>
        <w:t>E. 3</w:t>
      </w:r>
    </w:p>
    <w:p>
      <w:r>
        <w:t>Die Vorinstanz hat die für die Beurteilung der Streitsache massgebenden Rechtsgrundlagen zutreffend wiedergegeben, worauf verwiesen wird ( Art. 109 Abs. 3 BGG ).</w:t>
      </w:r>
    </w:p>
    <w:p>
      <w:r>
        <w:rPr>
          <w:b/>
        </w:rPr>
        <w:t>E. 4.1</w:t>
      </w:r>
    </w:p>
    <w:p>
      <w:r>
        <w:t>Das kantonale Gericht hat sowohl dem im Verfahren gemäss Art. 44 ATSG eingeholten Gutachten der Klinik C.________ als auch der Aktenbeurteilung der RAD-Orthopädin Dr. med. B.________ vom 28. Juli 2020 volle Beweiskraft zuerkannt. Gestützt darauf stellte es fest, spätestens ab Mai 2019 sei der Beschwerdeführer in der angestammten und jeder angepassten Tätigkeit wieder voll arbeitsfähig gewesen.</w:t>
      </w:r>
    </w:p>
    <w:p>
      <w:r>
        <w:rPr>
          <w:b/>
        </w:rPr>
        <w:t>E. 4.2</w:t>
      </w:r>
    </w:p>
    <w:p>
      <w:r>
        <w:t>Was der Beschwerdeführer gegen die Beweiskraft des Gutachtens der Klinik C.________vorbringt, überzeugt nicht. Die unterschiedliche Natur von Behandlungsauftrag der therapeutisch tätigen (Fach-) Person einerseits und Begutachtungsauftrag des amtlich bestellten fachmedizinischen Experten anderseits ( BGE 124 I 170 E. 4) lässt es - vorbehaltlich wichtiger unerkannt oder ungewürdigt gebliebener Aspekte - nicht zu, ein Administrativ- oder Gerichtsgutachten in Frage zu stellen und zum Anlass weiterer Abklärungen zu nehmen, nur weil die behandelnden Arztpersonen beziehungsweise Therapiekräfte zu anderslautenden Einschätzungen gelangen (vgl. Urteil 8C_277/2021 vom 25. August 2021 E. 3 mit Hinweisen). Insbesondere trifft nicht zu, dass die Gutachter der Klinik C.________ das Tätigkeits- und Belastbarkeitsprofil fehlerhaft oder ungenügend ermittelt hätten. Dr. med. D.________ stützte sich im orthopädisch-unfallchirurgischen Teilgutachten vom 14. April 2020 hinsichtlich der Aufgaben des Beschwerdeführers auf dessen Arbeitszeugnis. Danach war letzterer als Geschäftsführer verantwortlich für Hotelservice und Gästebetreuung, Bestellungen und Einkäufe, Organisation, Erstellung der Personaldienstpläne, Führen von Vorstellungsgesprächen mit Service-Mitarbeitenden, Einführung und Ausbildung des Personals sowie Reservierung und Organisation von Banketten. Diese Angaben sind hinreichend konkret, um die diesbezügliche Arbeitsfähigkeit unter Einbezug der durchgeführten Leistungstests rechtsgenüglich beurteilen zu können. Ein vermeintlicher Widerspruch bezüglich der Arbeitsintensität konnte objektiv nachvollziehbar mit Schreiben des Leiters der Gutachterstelle, Dr. med. E.________ vom 15. Juni 2020 geklärt werden. Die Vorinstanz ging mit Blick auf das bekannte Anforderungsprofil als Geschäftsführer und gestützt auf die Stellungnahme der RAD-Orthopädin vom 28. Juli 2020 von einer wechselbelastenden Tätigkeit aus.</w:t>
      </w:r>
    </w:p>
    <w:p>
      <w:r>
        <w:rPr>
          <w:b/>
        </w:rPr>
        <w:t>E. 4.3</w:t>
      </w:r>
    </w:p>
    <w:p>
      <w:r>
        <w:t>Die Gutachter der Klinik C.________ haben die einseitige Beinverkürzung am Schenkelhals berücksichtigt. Angesichts der Geringfügigkeit von sieben bis acht Millimetern handelt es sich laut dem Schreiben von Dr. med. D.________ vom 6. Oktober 2020 um nichts Aussergewöhnliches. Zudem ist diese Beinlängendifferenz ausreichend mit Einlagen kompensiert. Die ins Recht gelegte Stellungnahme des behandelnden Chirurgen Dr. med. F.________ vom 13. August 2020 setzt sich weder mit der Einschätzung des RAD noch mit dem Gutachten der Klinik C.________ auseinander und ist nicht geeignet, auch nur geringe Zweifel an der Richtigkeit oder Vollständigkeit der genannten Expertise zu wecken. Im Übrigen legte die Vorinstanz einlässlich dar, dass der hüftnahe Muskelschwund des Beschwerdeführers laut der voll beweiswertigen Einschätzung des Gutachtens der C.________ auf eine Selbstlimitierung durch die medizinisch nicht (länger) indizierte Verwendung von Unterarmstützen zurückzuführen ist. Die daraus resultierende Dekonditionierung bildet keinen invalidenversicherungsrechtlich relevanten Gesundheitsschaden (Urteil 9C_473/2019 vom 25. Februar 2020 E. 4.2.2. mit Hinweis). Damit hat es beim vorinstanzlichen Urteil sein Bewenden.</w:t>
      </w:r>
    </w:p>
    <w:p>
      <w:r>
        <w:rPr>
          <w:b/>
        </w:rPr>
        <w:t>E. 5</w:t>
      </w:r>
    </w:p>
    <w:p>
      <w:r>
        <w:t>Da die Beschwerde offensichtlich unbegründet ist, wird sie im Verfahren nach Art. 109 Abs. 2 lit. a BGG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