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8C_529/2007 vom 23. Mai 2008</w:t>
      </w:r>
    </w:p>
    <w:p>
      <w:r>
        <w:t>Bundesgericht, 2008-05-23, DE</w:t>
      </w:r>
    </w:p>
    <w:p>
      <w:r>
        <w:rPr>
          <w:b/>
        </w:rPr>
        <w:t xml:space="preserve">Quelle: </w:t>
      </w:r>
      <w:r>
        <w:t>https://mcp.opencaselaw.ch/entscheid/bger_8C_529_2007</w:t>
      </w:r>
    </w:p>
    <w:p>
      <w:r>
        <w:t>FR: TF 8C_529/2007 du 23 mai 2008</w:t>
      </w:r>
    </w:p>
    <w:p>
      <w:r>
        <w:t>IT: TF 8C_529/2007 del 23 maggio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Die Beschwerdeführerin rügt den vorinstanzlich bestätigten vollständigen Verzicht auf Gewährung eines leidensbedingten Abzugs vom statistischen Durchschnittslohn (s. BGE 129 V 472 E. 4 S. 481 mit Hinweisen; AHI 2002 S. 62, I 82/01, E. 4). Hierbei handelt es sich - anders als bei der Frage nach der konkreten Höhe eines Abzugs, welche typischerweise Ermessenscharakter hat - um eine Rechtsfrage (vgl. BGE 132 V 393 E. 3.3 S. 399).</w:t>
      </w:r>
    </w:p>
    <w:p>
      <w:r>
        <w:rPr>
          <w:b/>
        </w:rPr>
        <w:t>E. 3</w:t>
      </w:r>
    </w:p>
    <w:p>
      <w:r>
        <w:t>In BGE 126 V 75 hat das Eidgenössische Versicherungsgericht seine Rechtsprechung zu den Abzügen vom Tabellenlohn bereinigt und weiterentwickelt. Dabei hat es zunächst erkannt, dass der mit Blick auf die Behinderung gewährte Abzug nicht schematisch, sondern in Berücksichtigung der gesamten Umstände des Einzelfalles vorzunehmen ist und den Zweck hat,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den Vorzug. Ein Abzug soll auch diesbezüglich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Dabei rechtfertigt es sich aber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Der insgesamt zulässige Abzug vom statistischen Lohn ist unter Berücksichtigung aller jeweils in Betracht fallenden Merkmale auf höchstens 25 % begrenzt ( BGE 126 V 75 E. 5b S. 79 f.; 129 V 472 E. 4.2.3 S. 481).</w:t>
      </w:r>
    </w:p>
    <w:p>
      <w:r>
        <w:rPr>
          <w:b/>
        </w:rPr>
        <w:t>E. 4.1</w:t>
      </w:r>
    </w:p>
    <w:p>
      <w:r>
        <w:t>Bezüglich des Lebensalters der 1953 geborenen Beschwerdeführerin wird geltend gemacht, es sei nur sehr schwierig möglich, eine geeignete Stelle zu finden, da der Arbeitsmarkt für ältere Arbeitnehmerinnen sehr beschränkt sei. Das invalidenversicherungsrechtlich festgelegte Invalideneinkommen wird indessen auf der Grundlage eines ausgeglichenen Arbeitsmarktes ( Art. 16 ATSG )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 S. 70 f.; 110 V 273 E. 4b S. 276). So wurde ein diesbezüglicher Abzug im Fall eines 53-jährigen Versicherten verneint ( BGE 126 V 75 E. 5a/cc S. 79).</w:t>
      </w:r>
    </w:p>
    <w:p>
      <w:r>
        <w:rPr>
          <w:b/>
        </w:rPr>
        <w:t>E. 4.2</w:t>
      </w:r>
    </w:p>
    <w:p>
      <w:r>
        <w:t>Des Weiteren führt die Versicherte an, sie sei mehr als 20 Jahre an der selben Stelle tätig gewesen. Rechtsprechungsgemäss nimmt die Bedeutung der Dienstjahre jedoch ab, je niedriger das Anforderungsprofil ist (AHI 1999 S. 177 E. 3b S. 181; Urteil I 620/06 vom 6. Juli 2007, E. 6.2.1). Im vorliegenden Fall ist unbestrittenerweise Anforderungsniveau 4 (einfache und repetitive Tätigkeiten) massgebend.</w:t>
      </w:r>
    </w:p>
    <w:p>
      <w:r>
        <w:rPr>
          <w:b/>
        </w:rPr>
        <w:t>E. 4.3</w:t>
      </w:r>
    </w:p>
    <w:p>
      <w:r>
        <w:t>Bezüglich der Ausländereigenschaft ist in Betracht zu ziehen, dass die Versicherte seit langem in der Schweiz erwerbstätig war und die Niederlassungsbewilligung C besitzt. Damit gehört sie einer Ausländerkategorie an, für welche der monatliche Bruttolohn im Anforderungsniveau 4 sogar über dem entsprechenden, nicht nach dem Merkmal der Nationalität differenzierenden Totalwert liegt ( BGE 126 V 75 E. 5a/cc S. 79; Urteil U 420/04 vom 25. Juli 2005, E. 2.5.2; LSE 2004 S. 69 Tabelle A12). In diesem Zusammenhang ist auch anzufügen, dass die allenfalls lohnmindernden Faktoren der bescheidenen beruflichen Qualifikationen sowie der mangelnden Sprachkenntnisse bereits durch die Verwendung von Tabellenlöhnen des Anforderungsniveaus 4 abgegolten werden (Urteil I 674/06 vom 29. Mai 2007).</w:t>
      </w:r>
    </w:p>
    <w:p>
      <w:r>
        <w:rPr>
          <w:b/>
        </w:rPr>
        <w:t>E. 4.4</w:t>
      </w:r>
    </w:p>
    <w:p>
      <w:r>
        <w:t>Mit der Teilzeitarbeit lässt sich keine höhere Reduktion begründen, verdienen teilzeitbeschäftigte Frauen doch in der Regel mehr als vollzeitbeschäftigte (LSE 2004 S. 24).</w:t>
      </w:r>
    </w:p>
    <w:p>
      <w:r>
        <w:rPr>
          <w:b/>
        </w:rPr>
        <w:t>E. 4.5</w:t>
      </w:r>
    </w:p>
    <w:p>
      <w:r>
        <w:t>Schliesslich ist beim Einkommensvergleich unter Verwendung statistischer Tabellenlöhne rechtsprechungsgemäss zu berücksichtigen, dass gesundheitlich beeinträchtigte Personen, die selbst bei leichten Hilfsarbeitertätigkeiten behindert sind, im Vergeich zu voll leistungsfähigen und entsprechend einsetzbaren Arbeitnehmern lohnmässig benachteiligt sind und deshalb in der Regel mit unterdurchschnittlichen Lohnansätzen rechnen müssen ( BGE 129 V 472 E. 4.2.3 S. 481). Diesem Umstand wurde indessen bereits beim zumutbaren Arbeitspensum von 50 % hinlänglich Rechnung getragen, wäre die Beschwerdeführerin doch gemäss Einschätzung der MEDAS-Ärzte des Spitals X.________ (Gutachten vom 8. August 2006) in einer Verweistätigkeit mit ideal angepassten Bedingungen zu 70 % arbeitsfähig.</w:t>
      </w:r>
    </w:p>
    <w:p>
      <w:r>
        <w:rPr>
          <w:b/>
        </w:rPr>
        <w:t>E. 4.6</w:t>
      </w:r>
    </w:p>
    <w:p>
      <w:r>
        <w:t>Damit sprechen sämtliche zu berücksichtigenden Kriterien gegen die Gewährung eines Abzugs, was auch die Vorinstanz nach einlässlichen Erwägungen richtig erkannt hat. Der angefochtene Entscheid begründet daher keine Bundesrechtswidrigkeit.</w:t>
      </w:r>
    </w:p>
    <w:p>
      <w:r>
        <w:rPr>
          <w:b/>
        </w:rPr>
        <w:t>E. 5</w:t>
      </w:r>
    </w:p>
    <w:p>
      <w:r>
        <w:t>Das Verfahren ist kostenpflichtig (Art. 65 Abs. 1 und Abs. 4 lit. a BGG).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