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8C_527/2015 vom 5. September 2015</w:t>
      </w:r>
    </w:p>
    <w:p>
      <w:r>
        <w:t>Bundesgericht, 2015-09-05, DE</w:t>
      </w:r>
    </w:p>
    <w:p>
      <w:r>
        <w:rPr>
          <w:b/>
        </w:rPr>
        <w:t xml:space="preserve">Quelle: </w:t>
      </w:r>
      <w:r>
        <w:t>https://mcp.opencaselaw.ch/entscheid/bger_8C_527_2015</w:t>
      </w:r>
    </w:p>
    <w:p>
      <w:r>
        <w:t>FR: TF 8C_527/2015 du 5 septembre 2015</w:t>
      </w:r>
    </w:p>
    <w:p>
      <w:r>
        <w:t>IT: TF 8C_527/2015 del 5 settembre 2015</w:t>
      </w:r>
    </w:p>
    <w:p>
      <w:pPr>
        <w:pStyle w:val="Heading2"/>
      </w:pPr>
      <w:r>
        <w:t>Volltext</w:t>
      </w:r>
    </w:p>
    <w:p>
      <w:r>
        <w:t>Bundesgericht</w:t>
      </w:r>
    </w:p>
    <w:p>
      <w:r>
        <w:t>Tribunal fédéral</w:t>
      </w:r>
    </w:p>
    <w:p>
      <w:r>
        <w:t>Tribunale federale</w:t>
      </w:r>
    </w:p>
    <w:p>
      <w:r>
        <w:t>Tribunal federal</w:t>
      </w:r>
    </w:p>
    <w:p>
      <w:r>
        <w:t>{T 0/2}</w:t>
      </w:r>
    </w:p>
    <w:p>
      <w:r>
        <w:t>8C_527/2015</w:t>
      </w:r>
    </w:p>
    <w:p>
      <w:r>
        <w:t>Urteil vom 5. September 2015</w:t>
      </w:r>
    </w:p>
    <w:p>
      <w:r>
        <w:t>I. sozialrechtliche Abteilung</w:t>
      </w:r>
    </w:p>
    <w:p>
      <w:r>
        <w:t>Besetzung</w:t>
      </w:r>
    </w:p>
    <w:p>
      <w:r>
        <w:t>Bundesrichterin Leuzinger, Präsidentin,</w:t>
      </w:r>
    </w:p>
    <w:p>
      <w:r>
        <w:t>Gerichtsschreiber Batz.</w:t>
      </w:r>
    </w:p>
    <w:p>
      <w:r>
        <w:t>Verfahrensbeteiligte</w:t>
      </w:r>
    </w:p>
    <w:p>
      <w:r>
        <w:t>A.________, vertreten durch B.________,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Graubünden vom 12. Mai 2015.</w:t>
      </w:r>
    </w:p>
    <w:p>
      <w:r>
        <w:t>Nach Einsicht</w:t>
      </w:r>
    </w:p>
    <w:p>
      <w:r>
        <w:t>in die Beschwerde des A.________ vom 21. Juli 2015 (Poststempel der Schweiz) gegen den Entscheid des Verwaltungsgerichts des Kantons Graubünden vom 12. Mai 2015,</w:t>
      </w:r>
    </w:p>
    <w:p>
      <w:r>
        <w:t>in die Mitteilung des Bundesgerichts vom 24. Juli 2015, worin auf die gesetzlichen Formerfordernisse von Rechtsmitteln hinsichtlich Begehren und Begründung sowie auf die nur innert der Beschwerdefrist noch bestehende Verbesserungsmöglichkeit hingewiesen wurde, wobei diese Mitteilung des Gerichts unbeantwortet geblieben ist,</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w:t>
      </w:r>
    </w:p>
    <w:p>
      <w:r>
        <w:t>dass die Beschwerde vom 21. Juli 2015 diesen Mindestanforderungen offensichtlich nicht genügt, da sie sich nicht in konkreter Weise mit den für das Ergebnis des angefochtenen Entscheids massgebenden Erwägungen der Vorinstanz (namentlich bezüglich des nicht mit dem Beweisgrad der überwiegenden Wahrscheinlichkeit erwiesenen natürlichen Kausalzusammenhangs zwischen dem Unfall und den Beschwerden des Versicherten) auseinandersetzt und auch weder substanziiert rügt noch aufzeigt, inwiefern das kantonale Gericht mit seinen Ausführungen eine Rechtsverletzung gemäss Art. 95 f. BGG bzw. - soweit überhaupt beanstandet - eine für den Entscheid wesentliche unrichrichtige oder unvollständige Sachverhaltsfeststellung im Sinne von Art. 97 BGG begangen haben sollte,</w:t>
      </w:r>
    </w:p>
    <w:p>
      <w:r>
        <w:t>dass deshalb kein gültiges Rechtsmittel eingereicht worden ist, obwohl das Bundesgericht den Beschwerdeführer auf die Formerfordernisse von Rechtsmitteln und die nur innert der Beschwerdefrist noch bestehende Verbesserungsmöglichkeit bezüglich der mangelhaften Eingabe am 24. Juli 2015 ausdrücklich hingewiesen hat, wobei diese Mitteilung des Gerichts unbeantwortet geblieben ist,</w:t>
      </w:r>
    </w:p>
    <w:p>
      <w:r>
        <w:t>dass demnach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5. September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