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526/2022 vom 6. Februar 2023</w:t>
      </w:r>
    </w:p>
    <w:p>
      <w:r>
        <w:t>Bundesgericht, 2023-02-06, DE</w:t>
      </w:r>
    </w:p>
    <w:p>
      <w:r>
        <w:rPr>
          <w:b/>
        </w:rPr>
        <w:t xml:space="preserve">Quelle: </w:t>
      </w:r>
      <w:r>
        <w:t>https://mcp.opencaselaw.ch/entscheid/bger_8C_526_2022</w:t>
      </w:r>
    </w:p>
    <w:p>
      <w:r>
        <w:t>FR: TF 8C 526/2022 du 6 février 2023</w:t>
      </w:r>
    </w:p>
    <w:p>
      <w:r>
        <w:t>IT: TF 8C 526/2022 del 6 febbraio 2023</w:t>
      </w:r>
    </w:p>
    <w:p>
      <w:pPr>
        <w:pStyle w:val="Heading2"/>
      </w:pPr>
      <w:r>
        <w:t>Regeste</w:t>
      </w:r>
    </w:p>
    <w:p>
      <w:r>
        <w:t>Invalidenversicherung | Invalidenversicherung</w:t>
      </w:r>
    </w:p>
    <w:p>
      <w:pPr>
        <w:pStyle w:val="Heading2"/>
      </w:pPr>
      <w:r>
        <w:t>Erwägungen</w:t>
      </w:r>
    </w:p>
    <w:p>
      <w:r>
        <w:rPr>
          <w:b/>
        </w:rPr>
        <w:t>E. 1</w:t>
      </w:r>
    </w:p>
    <w:p>
      <w:r>
        <w:t>Das Bundesgericht prüft die Eintretensvoraussetzungen von Amtes wegen und mit freier Kognition ( Art. 29 Abs. 1 BGG ; BGE 145 II 153 E. 1.1 mit Hinweis; 139 V 42 E. 1).</w:t>
      </w:r>
    </w:p>
    <w:p>
      <w:r>
        <w:rPr>
          <w:b/>
        </w:rPr>
        <w:t>E. 2</w:t>
      </w:r>
    </w:p>
    <w:p>
      <w:r>
        <w:t>Der Beschwerdeführer fordert eine höhere Entschädigung für seinen unentgeltlichen Vertreter für das kantonale Gerichtsverfahren; subeventualiter die Rückweisung der Sache zur neuen Festsetzung derselben. Bei der unentgeltlichen Verbeiständung handelt es sich um ein öffentlich-rechtliches Verhältnis zwischen Staat und Rechtsbeistand ( BGE 132 V 200 E. 5.1.4), das einen Honoraranspruch des Rechtsbeistands gegenüber dem Staat begründet. Steht dieser Anspruch demnach dem amtlichen Rechtsbeistand selber zu und nicht der verbeiständeten Partei, kann - mangels Parteistellung des Rechtsvertreters in diesem Verfahren - die Höhe der zustehenden Entschädigung hier nicht beurteilt werden ( BGE 110 V 360 E. 2; Urteil 9C_660/2019 vom 16. Dezember 2019 E. 1 mit Hinweis). Soweit der Rechtsvertreter die vorinstanzliche Festsetzung seiner amtlichen Entschädigung als unentgeltlicher Rechtsbeistand für das kantonale Verfahren hätte anfechten und ein höheres Honorar durchsetzen wollen, hätte er in eigenem Namen an das Bundesgericht gelangen müssen. Auf die Beschwerde ist daher insoweit nicht einzutreten, als damit eine Erhöhung des dem Anwalt des Beschwerdeführers zugesprochenen amtlichen Honorars verlangt wird.</w:t>
      </w:r>
    </w:p>
    <w:p>
      <w:r>
        <w:rPr>
          <w:b/>
        </w:rPr>
        <w:t>E. 3.1</w:t>
      </w:r>
    </w:p>
    <w:p>
      <w:r>
        <w:t>Anfechtungsobjekt im vorinstanzlichen Verfahren bildete die Verfügung der IV-Stelle vom 20. September 2021. Darin befasste sich diese, anders als die Vorinstanz (in Anlehnung an die verfügte Auszahlung) meint, nicht bloss mit einem Rentenanspruch ab 1. Oktober 2021, sondern auch mit jenem für die Zeit davor (vgl. Sachverhalt lit. A). Sie wiederholte ihren dahingehenden Beschluss und verwies auf den "Verfügungsteil 2" als integralen Bestandteil dieser Verfügung (vgl. Art. 5 VwVG resp. Art. 49 ATSG ). Damit war grundsätzlich auch der zulässige Streitgegenstand festgelegt (zum Anfechtungs- und Streitgegenstand vgl. BGE 125 V 413 E. 1 und 2a). Bei dieser Sach- und Rechtslage mangelte es im kantonalen Verfahren nicht an einem Anfechtungsgegenstand, soweit der Beschwerdeführer das Rechtsbegehren stellte, ihm sei ab 1. Juli 2018 eine ganze Invalidenrente zuzusprechen. Hierauf trat die Vorinstanz daher zu Unrecht nicht ein ( BGE 131 V 164 E. 2.1; 125 V 413 E. 1).</w:t>
      </w:r>
    </w:p>
    <w:p>
      <w:r>
        <w:rPr>
          <w:b/>
        </w:rPr>
        <w:t>E. 3.2</w:t>
      </w:r>
    </w:p>
    <w:p>
      <w:r>
        <w:t>Die Vorinstanz hat es mit anderen Worten bundesrechtswidrig unterlassen, den Rentenanspruch aufgrund der geltend gemachten Verschlechterung des Gesundheitszustands für den Zeitraum zwischen der Verfügung vom 11. Januar 2017 und der Verfügung vom 20. September 2021 revisionsrechtlich zu beurteilen und bestätigte einzig den Anspruch auf eine halbe Rente ab 1. Oktober 2021.</w:t>
      </w:r>
    </w:p>
    <w:p>
      <w:r>
        <w:rPr>
          <w:b/>
        </w:rPr>
        <w:t>E. 4.1</w:t>
      </w:r>
    </w:p>
    <w:p>
      <w:r>
        <w:t>Aus spezifischen sozialversicherungsrechtlichen Gründen ist überdies ein abschliessender materieller Entscheid über die Rentenfrage für die künftigen Phasen nicht zulässig, weil der Streitgegenstand den Rentenanspruch als Ganzes betrifft ( BGE 135 V 148 E. 5.2 mit Hinweisen auf BGE 131 V 164 E. 2.2, 125 V 413 E. 2). Daraus folgt, dass die Rente für eine folgende Teilperiode nicht endgültig festgelegt werden kann, solange sie für die vorangehende Teilperiode nicht rechtskräftig beurteilt ist, da die Rentenrevision nach Art. 17 Abs. 1 ATSG eine Änderung (in medizinischer oder erwerblicher Hinsicht) voraussetzt. Im Lichte der Einheit des Rentenverhältnisses ( BGE 125 V 413 ) ist daher grundsätzlich davon abzusehen, eine spätere Periode materiell zu beurteilen, solange in Bezug auf einen vorangehenden Anspruchszeitraum die Sache noch zu näheren Abklärungen zurückgewiesen wird. Geschieht dies trotzdem, so liegt hinsichtlich der materiell beurteilten späteren Phase ebenfalls ein Zwischenentscheid vor (Urteil 8C_263/2021 vom 11. Oktober 2021 E. 2.2.1).</w:t>
      </w:r>
    </w:p>
    <w:p>
      <w:r>
        <w:rPr>
          <w:b/>
        </w:rPr>
        <w:t>E. 4.2</w:t>
      </w:r>
    </w:p>
    <w:p>
      <w:r>
        <w:t>Gestützt auf Art. 42 Abs. 1 BGG ist die beschwerdeführende Partei gehalten, die Erfüllung der Eintretensvoraussetzungen darzutun, wenn diese nicht offensichtlich gegeben sind (vgl. BGE 141 IV 289 E. 1.3 mit weiteren Hinweisen). Der Beschwerdeführer befasst sich einzig mit der materiellen Seite des Falles, was nicht genügt ( BGE 123 V 335 E. 1b; Urteil 9C_193/2022 vom 27. April 2022). Er legt insbesondere nicht dar, inwiefern eine der Eintretensvoraussetzungen von Art. 93 Abs. 1 BGG erfüllt wäre. Es kann allerdings offen gelassen werden, ob auch in der vorliegenden Konstellation ein Zwischenentscheid vorliegt, der (nur) unter den Voraussetzungen des Art. 93 Abs. 1 BGG selbstständig angefochten werden kann.</w:t>
      </w:r>
    </w:p>
    <w:p>
      <w:r>
        <w:rPr>
          <w:b/>
        </w:rPr>
        <w:t>E. 4.3.1</w:t>
      </w:r>
    </w:p>
    <w:p>
      <w:r>
        <w:t>Das Bundesgericht prüft auch für das vorinstanzliche Verfahren von Amtes wegen, ob die Prozessvoraussetzungen erfüllt sind ( BGE 147 V 268 E. 2; 142 V 67 E. 2.1; vgl. vorstehende E. 1). Dass das Bundesgericht gemäss Art. 107 Abs. 1 BGG nicht über die Begehren der Parteien hinausgehen darf, steht in einem solchen Falle der Aufhebung des angefochtenen Entscheides aus formellen Gründen - auch ohne entsprechenden Antrag - nicht entgegen, da die genannte Bestimmung nur die materielle Seite des Rechtsstreits betrifft (Urteil 8C_804/2012 vom 21. Juni 2013 E. 1).</w:t>
      </w:r>
    </w:p>
    <w:p>
      <w:r>
        <w:rPr>
          <w:b/>
        </w:rPr>
        <w:t>E. 4.3.2</w:t>
      </w:r>
    </w:p>
    <w:p>
      <w:r>
        <w:t>Der Entscheid des Verwaltungsgerichts des Kantons Thurgau vom 25. Mai 2022 ist daher von Amtes wegen aufzuheben. Die Sache ist an die Vorinstanz zurückzuweisen, damit sie über den gesamten hier infrage stehenden Zeitraum über den Rentenanspruch des Beschwerdeführers materiell entscheide.</w:t>
      </w:r>
    </w:p>
    <w:p>
      <w:r>
        <w:rPr>
          <w:b/>
        </w:rPr>
        <w:t>E. 5</w:t>
      </w:r>
    </w:p>
    <w:p>
      <w:r>
        <w:t>Hinsichtlich der Prozesskosten gilt die Rückweisung der Sache zu neuem Entscheid praxisgemäss als volles Obsiegen, unabhängig davon, ob sie beantragt und ob das entsprechende Begehren im Haupt- oder im Eventualantrag gestellt wird ( BGE 141 V 281 E. 11.1; Urteil 9C_37/2022 vom 11. August 2022 E. 6.1). Dementsprechend hat die Beschwerdegegnerin die Gerichtskosten zu tragen ( Art. 66 Abs. 1 BGG ). Der Beschwerdeführer hat Anspruch auf Parteientschädigung ( Art. 68 Abs. 1 und 2 BGG ). Sein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