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526/2014 vom 10. November 2014</w:t>
      </w:r>
    </w:p>
    <w:p>
      <w:r>
        <w:t>Bundesgericht, 2014-11-10, DE</w:t>
      </w:r>
    </w:p>
    <w:p>
      <w:r>
        <w:rPr>
          <w:b/>
        </w:rPr>
        <w:t xml:space="preserve">Quelle: </w:t>
      </w:r>
      <w:r>
        <w:t>https://mcp.opencaselaw.ch/entscheid/bger_8C_526_2014</w:t>
      </w:r>
    </w:p>
    <w:p>
      <w:r>
        <w:t>FR: TF 8C 526/2014 du 10 novembre 2014</w:t>
      </w:r>
    </w:p>
    <w:p>
      <w:r>
        <w:t>IT: TF 8C 526/2014 del 10 novembre 2014</w:t>
      </w:r>
    </w:p>
    <w:p>
      <w:pPr>
        <w:pStyle w:val="Heading2"/>
      </w:pPr>
      <w:r>
        <w:t>Regeste</w:t>
      </w:r>
    </w:p>
    <w:p>
      <w:r>
        <w:t>Unfallversicherung (Invalidenrente)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werden ( BGE 133 II 249 E. 1.4.1 S. 254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eine unfallbedingte Einschränkung der Arbeitsfähigkeit bzw. der Erwerbsfähigkeit des Beschwerdeführers vorliegt und ihm somit ab dem 1. März 2012 eine Invalidenrente der Unfallversicherung zusteht.</w:t>
      </w:r>
    </w:p>
    <w:p>
      <w:r>
        <w:rPr>
          <w:b/>
        </w:rPr>
        <w:t>E. 3.1</w:t>
      </w:r>
    </w:p>
    <w:p>
      <w:r>
        <w:t>Ist eine versicherte Person infolge des Unfalles mindestens zu 10 %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3.2</w:t>
      </w:r>
    </w:p>
    <w:p>
      <w:r>
        <w:t>Um das vom Versicherten ohne Gesundheitsschaden hypothetisch erzielbare Valideneinkommen zu bestimmen, ist entscheidend, was die versicherte Person im Zeitpunkt des frühestmöglichen Rentenbeginns überwiegend wahrscheinlich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Grundsatz müssen mit überwiegender Wahrscheinlichkeit erstellt sein ( BGE 129 V 222 E. 4.3.1 S. 224). Ein solcher Ausnahmefall liegt beispielsweise dann vor, wenn der Versicherte seine Arbeitsstelle infolge konkursbedingter Betriebsschliessung verliert (Urteil 9C_501/2013 vom 28. November 2013 E. 4.2 mit Hinweisen). In diesem Fall kann für den Erwerbsvergleich nicht auf den in diesem Betrieb erzielten Lohn abgestellt werden. Folglich kann auf die Tabellenlöhne (Schweizer-ische Lohnstrukturerhebung [LSE] des Bundesamtes für Statistik) zurückgegriffen werden.</w:t>
      </w:r>
    </w:p>
    <w:p>
      <w:r>
        <w:rPr>
          <w:b/>
        </w:rPr>
        <w:t>E. 3.3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LSE oder DAP-Zahlen herangezogen werden ( BGE 129 V 472 E. 4.2.1 S. 475 mit Hinweisen).</w:t>
      </w:r>
    </w:p>
    <w:p>
      <w:r>
        <w:rPr>
          <w:b/>
        </w:rPr>
        <w:t>E. 4.1</w:t>
      </w:r>
    </w:p>
    <w:p>
      <w:r>
        <w:t>Für die Beurteilung der Arbeitsfähigkeit des Beschwerdeführers hat sich die Vorinstanz im Wesentlichen auf den kreisärztlichen Bericht des Dr. med. D.________, Facharzt für Orthopädische Chirurgie und Traumatologie FMH, SUVA, vom 11. Januar 2012 gestützt. Diesem Bericht kann entnommen werden, dass das Behandlungsergebnis betreffend das linke Knie, nach Implantation einer Endoprothese am 11. Oktober 2006, positiv sei. Betreffend das rechte Knie habe die klinische Untersuchung ein wechselnd ausgeprägtes Schonhinken rechts mit einer Behinderung beim Treppensteigen gezeigt. Objektiv habe sich ein Streckausfall im rechten Knie von 10° bei einer günstigen Flexion von 125° ergeben. 14 Monate nach der Implantation der Endoprothese rechtsseitig sei aber der Zustand seit längerer Zeit stabil, weshalb die Voraussetzungen für den Fallabschluss erfüllt seien. Weiter kann dem kreisärztlichen Bericht entnommen werden, dass der mässige Streckausfall akzeptiert werden müsse. Eine überwiegend sitzende Tätigkeit mit der Möglichkeit, gelegentlich etwas aufzustehen und herumzugehen und vor allem ohne die Notwendigkeit einer fixierten Flexionshaltung beider Kniegelenke sei dem Beschwerdeführer somit vollzeitlich zumutbar. Demzufolge sei die früher geleistete Arbeit entsprechend vollzeitig wieder möglich.</w:t>
      </w:r>
    </w:p>
    <w:p>
      <w:r>
        <w:rPr>
          <w:b/>
        </w:rPr>
        <w:t>E. 4.2</w:t>
      </w:r>
    </w:p>
    <w:p>
      <w:r>
        <w:t>Gestützt auf den kreisärztlichen Bericht vom 11. Januar 2012 erwog die Vorinstanz, dass aus medizinischer Sicht ab Januar 2012 keine namhafte Verbesserung des Gesundheitszustandes zu erwarten sei. Der Beschwerdeführer könne somit ab diesem Zeitpunkt eine überwiegend sitzende Tätigkeit mit der Möglichkeit, gelegentlich aufzustehen und herumzugehen, und ohne die Notwendigkeit einer fixierten Flexionshaltung beider Kniegelenke vollzeitig ausüben.</w:t>
      </w:r>
    </w:p>
    <w:p>
      <w:r>
        <w:rPr>
          <w:b/>
        </w:rPr>
        <w:t>E. 4.3</w:t>
      </w:r>
    </w:p>
    <w:p>
      <w:r>
        <w:t>Bezüglich der Frage, wie sich die eingeschränkte Leistungsfähigkeit des Beschwerdeführers in erwerblicher Hinsicht auswirke, hielt die Vorinstanz fest, dass der Beschwerdeführer bei der C.________ AG als Berater und Baustellencontroller gearbeitet habe. Zu seinen Aufgaben hätten der Aufbau einer Nachkalkulation, die Arbeitsvorbereitung, das Personalmanagement, die Beratung und das Controlling, die Baustellenorganisation sowie die Behandlung von Schadenfällen gezählt. Diese Aufgaben, welche teilweise im Baustellenbüro zu verrichten gewesen seien, seien aber keine spezifische Baustellenarbeiten. Sämtliche dieser Arbeiten könnten auch im Sitzen ausgeführt werden. Folglich entspreche die vom Beschwerdeführer bei der C.________ AG zuletzt ausgeübte Tätigkeit weitgehend einer ihm noch zumutbaren Tätigkeit, weshalb er als 100 % arbeitsfähig zu qualifizieren sei.</w:t>
      </w:r>
    </w:p>
    <w:p>
      <w:r>
        <w:rPr>
          <w:b/>
        </w:rPr>
        <w:t>E. 5</w:t>
      </w:r>
    </w:p>
    <w:p>
      <w:r>
        <w:t>Der Beschwerdeführer rügt, die Annahme der Vorinstanz, die Arbeiten, welche auf der Baustelle angefallen seien, hätten im Baustellenbüro verrichtet werden können, stütze sich auf keinerlei Fakten. Aus den Akten gehe nämlich hervor, dass er sich regelmässig auf Baustellen begeben habe und dass es sich bei seinem Arbeitsplatz nicht um einen Computerarbeitsplatz gehandelt habe. Der Beschwerdeführer bestreitet, ein eigenes Büro auf einer Baustelle besessen zu haben. Der Beschwerdeführer macht weiter geltend, dass die Nachkalkulation, die Arbeitsvorbereitung, das Baucontrolling sowie die Behandlung von Schadenfällen, entgegen der Ansicht der Vorinstanz, nicht sitzend in einem Baustellenbüro hätten erledigt werden können. Auch wenn er keine eigentliche Baustellenarbeit wie ein Handwerker habe verrichten müssen, habe er seine Arbeit nur erledigen können, wenn es ihm möglich gewesen sei, sich auf den Baustellen ungehindert fortzubewegen. Zudem führt der Beschwerdeführer aus, dass Baustellen keine fest eingerichteten Büroarbeitsplätze seien. Zur Erledigung seiner Arbeit habe er sich den ständig ändernden Gegebenheiten anpassen müssen, auf unsicherem Gelände gehen, auf Geländer laufen, auf Leitern stehen oder am Boden knien können. Demzufolge würden die von ihm auf der Baustelle auszuführenden Arbeiten den Rahmen des ihm Zumutbaren sprengen. Laut kreisärztlichem Bericht vom 11. Januar 2012 müsse er vor allem sitzen und "gelegentlich etwas aufstehen und herumgehen". Seine Arbeit habe aber wesentlich mehr beinhaltet: das Stehen, Gehen, Knien oder Besteigen von Leitern. Solche Tätigkeiten seien nicht mehr zumutbar, was auch Dr. med. E.________, Co-Chefarzt Orthopädie, Klinik F.________, mit Bericht vom 22. Oktober 2012 bestätigt habe. Ausgehend von diesem medizinischen Sachverhalt könne er seine bisherige Tätigkeit nicht mehr ausüben, weshalb eine Einschränkung der Arbeitsfähigkeit und damit gezwungenermassen auch der Erwerbsfähigkeit vorliege.</w:t>
      </w:r>
    </w:p>
    <w:p>
      <w:r>
        <w:rPr>
          <w:b/>
        </w:rPr>
        <w:t>E. 6.1</w:t>
      </w:r>
    </w:p>
    <w:p>
      <w:r>
        <w:t>Die Vorinstanz hat erwogen, der Beschwerdeführer könne die bei der C.________ AG zuletzt ausgeübte Tätigkeit weiterhin zu 100 % ausüben, was vom Beschwerdeführer bestritten wird.</w:t>
      </w:r>
    </w:p>
    <w:p>
      <w:r>
        <w:rPr>
          <w:b/>
        </w:rPr>
        <w:t>E. 6.2</w:t>
      </w:r>
    </w:p>
    <w:p>
      <w:r>
        <w:t>Im Rahmen einer leidensangepassten Tätigkeit ist von einer Arbeitsfähigkeit des Beschwerdeführers von 100 % auszugehen. Da die C.________ AG in Konkurs gefallen ist, kann bereits aus diesem Grund für die Bestimmung des Validen- und Invalideneinkommens nicht auf den bei der C.________ AG erzielten Lohn abgestellt werden. Die Frage, ob die bisher vom Beschwerdeführer ausgeübte Tätigkeit sowohl Baustellen- als auch Büroarbeiten beinhaltete, kann offen gelassen werden. Der Invaliditätsgrad des Beschwerdeführers ist mittels eines Einkommensvergleichs im Sinne von Art. 16 ATSG zu bestimmen. Die Beschwerde ist somit gutzuheissen, der vorinstanzliche Entscheid ist aufzuheben und die Sache ist an das kantonale Gericht zurückzuweisen, damit dieses die beiden Vergleichseinkommen bestimmt und über die Beschwerde des Versicherten neu entscheidet.</w:t>
      </w:r>
    </w:p>
    <w:p>
      <w:r>
        <w:rPr>
          <w:b/>
        </w:rPr>
        <w:t>E. 7</w:t>
      </w:r>
    </w:p>
    <w:p>
      <w:r>
        <w:t>Das Verfahren ist kostenpflichtig ( Art. 65 Abs. 1 BGG ). Die Gerichtskosten werden der SUVA als unterliegender Partei auferlegt ( Art. 66 Abs. 1 BGG ). Sie hat dem Beschwerdeführer eine Parteientschädigung auszurichten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