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8C_522/2023 vom 21. September 2023</w:t>
      </w:r>
    </w:p>
    <w:p>
      <w:r>
        <w:t>Bundesgericht, 2023-09-21, DE</w:t>
      </w:r>
    </w:p>
    <w:p>
      <w:r>
        <w:rPr>
          <w:b/>
        </w:rPr>
        <w:t xml:space="preserve">Quelle: </w:t>
      </w:r>
      <w:r>
        <w:t>https://mcp.opencaselaw.ch/entscheid/bger_8C_522_2023</w:t>
      </w:r>
    </w:p>
    <w:p>
      <w:r>
        <w:t>FR: TF 8C_522/2023 du 21 septembre 2023</w:t>
      </w:r>
    </w:p>
    <w:p>
      <w:r>
        <w:t>IT: TF 8C_522/2023 del 21 settembre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bestätigte mit Entscheid vom 12. Juli 2023 die vom Beschwerdegegner vorgenommene Einstellung der Beschwerdeführerin in der Anspruchsberechtigung auf Arbeitslosenentschädigung für die Dauer von 31 Tagen mit zwei voneinander unabhängigen Begründungen. Zunächst hielt es fest, die diesbezügliche Verfügung des Beschwerdegegners vom 7. September 2022 sei von der Beschwerdeführerin ausserhalb der dafür vorgegebenen Rechtsmittelfrist von 30 Tagen und damit verspätet mit Einsprache angefochten worden. Im Sinne einer Zusatzbegründung legte das kantonale Gericht in einem weiteren Schritt dar, weshalb sich die Einstellung auch materiell (inhaltlich) als zutreffend erweise.</w:t>
      </w:r>
    </w:p>
    <w:p>
      <w:r>
        <w:rPr>
          <w:b/>
        </w:rPr>
        <w:t>E. 3</w:t>
      </w:r>
    </w:p>
    <w:p>
      <w:r>
        <w:t>Die Beschwerdeführerin thematisiert letztinstanzlich allein die materielle Begründung der Einstellung. Damit ist den gemäss E. 1 am Ende hievor gebotenen Mindestanforderungen an eine Beschwerdebegründung nicht Genüge getan.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