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8C_521/2019 vom 12. März 2020</w:t>
      </w:r>
    </w:p>
    <w:p>
      <w:r>
        <w:t>Bundesgericht, 2020-03-12, DE</w:t>
      </w:r>
    </w:p>
    <w:p>
      <w:r>
        <w:rPr>
          <w:b/>
        </w:rPr>
        <w:t xml:space="preserve">Quelle: </w:t>
      </w:r>
      <w:r>
        <w:t>https://mcp.opencaselaw.ch/entscheid/bger_8C_521_2019</w:t>
      </w:r>
    </w:p>
    <w:p>
      <w:r>
        <w:t>FR: TF 8C_521/2019 du 12 mars 2020</w:t>
      </w:r>
    </w:p>
    <w:p>
      <w:r>
        <w:t>IT: TF 8C_521/2019 del 12 marzo 2020</w:t>
      </w:r>
    </w:p>
    <w:p>
      <w:pPr>
        <w:pStyle w:val="Heading2"/>
      </w:pPr>
      <w:r>
        <w:t>Erwägungen</w:t>
      </w:r>
    </w:p>
    <w:p>
      <w:r>
        <w:rPr>
          <w:b/>
        </w:rPr>
        <w:t>E. 1</w:t>
      </w:r>
    </w:p>
    <w:p>
      <w:r>
        <w:t>Der vorinstanzliche Entscheid umfasst insgesamt neun Seiten und ist in einem einzigen Satz als sogenannter "Dass-Entscheid" verfasst worden. Dies erschwert die Les- und Nachvollziehbarkeit erheblich. Im vorliegenden Fall kann von einer Rückweisung im Sinne von Art. 112 Abs. 3 BGG abgesehen werden, da der vorinstanzliche Entscheid trotz "Dass-Form" gerade noch hinreichend verständlich ist (vgl. Urteile 8C_353/2019 vom 2. September 2019 E. 1 und 5A_1016/2018 vom 9. Oktober 2019 E. 2).</w:t>
      </w:r>
    </w:p>
    <w:p>
      <w:r>
        <w:rPr>
          <w:b/>
        </w:rPr>
        <w:t>E. 2</w:t>
      </w:r>
    </w:p>
    <w:p>
      <w:r>
        <w:t>Das Bundesverwaltungsgericht begründet das Nichteintreten damit, mit Verfügung vom 6. Mai 2019 sowohl die Rechtsmitteleinlegerin wie auch die A.________ AG selbst hinreichend klar darauf hingewiesen zu haben, dass innert der gesetzten Frist entweder die Beschwerdeschrift durch die A.________ AG selbst zu unterzeichnen oder aber eine von ihr unterzeichnete Vollmacht einzureichen sei; ausgestellt worden sei die Vollmacht aber erneut durch die C.________ Holding AG; eine gültige Vollmacht erteilen könne indessen nur der Vollmachtgeber selber oder aber der von ihm dazu Ermächtigte; insoweit sei auch das neu aufgelegte Schriftstück kein Nachweis für das behauptete Vertretungsverhältnis.</w:t>
      </w:r>
    </w:p>
    <w:p>
      <w:r>
        <w:rPr>
          <w:b/>
        </w:rPr>
        <w:t>E. 2.1</w:t>
      </w:r>
    </w:p>
    <w:p>
      <w:r>
        <w:t>Bis auf den letzten Punkt ist der Vorinstanz ohne Weiteres zu folgen. Eine Vollmacht kann nur der Vollmachtgeber selbst oder eine von ihm dazu ermächtigte Person einer Drittperson erteilen. Insoweit reicht es eben nicht aus, wenn eine Muttergesellschaft Dritten eine Vollmacht erteilt, um für ihre Tochterunternehmen zu handeln. Denn für eine juristische Person ( Art. 52 ff. ZGB ), wie für eine handlungsfähige natürliche Person ( Art. 13 ZGB ), kann eine andere - juristische oder natürliche - Person nur handeln, wenn sie dazu von jener ermächtigt ist. Sodann dürfen Gerichte jederzeit eine schriftliche Vollmacht verlangen (so für das vorinstanzliche Verfahren ausdrücklich Art. 11 Abs. 1 VwVG in Verbindung mit Art. 37 VGG ) und sich dabei durchaus einer gewissen Formstrenge bedienen (s. Urteile 5A_561/2016 vom 22. September 2016 E. 3.3 und 9C_793/2013 vom 27. März 2014 E. 1.2, je mit Hinweisen). Entspricht das Beigebrachte nicht dem Geforderten, führt dies in aller Regel direkt zum angedrohten Nichteintreten. Eine neue Nachfrist ist nur ausnahmsweise zu gewähren (vgl. Urteile 2C_1036/2019 vom 19. Dezember 2019 E. 2.4 und 8C_388/2018 vom 3. September 2018).</w:t>
      </w:r>
    </w:p>
    <w:p>
      <w:r>
        <w:rPr>
          <w:b/>
        </w:rPr>
        <w:t>E. 2.2</w:t>
      </w:r>
    </w:p>
    <w:p>
      <w:r>
        <w:t>Die Angelegenheit weist nun aber insoweit eine von der Vorinstanz übersehene Besonderheit auf, als die die Vollmacht unterzeichnenden Personen gemäss Handelsregistereintrag nicht nur für die C.________ Holding AG, sondern auch für die A.________ AG zeichnungsberechtigt sind. Wenn daher das fragliche Schriftstück zwar im Namen der C.________ Holding AG unterzeichnet worden ist, darin aber zugleich erklärt wird, die Vollmacht gelte auch für die A.________ AG, erscheint ein Nichteintreten wegen fehlenden Nachweises des von der Rechtsmitteleinlegerin behaupteten Vertretungsverhältnisses als überspitzt formalistisch im Sinne von Art. 29 Abs. 1 BV (dazu BGE 145 I 201 E. 4.2.1 S. 204 ; 142 I 10 E. 2.4.2 S. 11; 142 V 152 E. 4.2 S. 158; je mit Hinweisen). Allein deshalb auf die Beschwerde nicht einzutreten, weil die Vollmacht rein formal nicht gänzlich dem Geforderten entspricht, geht nicht an.</w:t>
      </w:r>
    </w:p>
    <w:p>
      <w:r>
        <w:rPr>
          <w:b/>
        </w:rPr>
        <w:t>E. 2.3</w:t>
      </w:r>
    </w:p>
    <w:p>
      <w:r>
        <w:t>Zusammenfassend hätte das Bundesverwaltungsgericht auf die von der Rechtsmitteleinlegerin erhobene Beschwerde nicht mangels ausgewiesener Vollmacht nicht eintreten dürfen. Die Angelegenheit geht daher an die Vorinstanz zur neuen Entscheidung zurück.</w:t>
      </w:r>
    </w:p>
    <w:p>
      <w:r>
        <w:rPr>
          <w:b/>
        </w:rPr>
        <w:t>E. 3</w:t>
      </w:r>
    </w:p>
    <w:p>
      <w:r>
        <w:t>Die Gerichtskosten sind in Nachachtung von Art. 66 Abs. 1 Satz 1 BGG ausgangsgemäss der Beschwerdegegnerin zu überbinden. Der Beschwerdeführerin steht gemäss Art. 68 Abs. 1 und 2 BGG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