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8C_520/2014 vom 29. Oktober 2014</w:t>
      </w:r>
    </w:p>
    <w:p>
      <w:r>
        <w:t>Bundesgericht, 2014-10-29, DE</w:t>
      </w:r>
    </w:p>
    <w:p>
      <w:r>
        <w:rPr>
          <w:b/>
        </w:rPr>
        <w:t xml:space="preserve">Quelle: </w:t>
      </w:r>
      <w:r>
        <w:t>https://mcp.opencaselaw.ch/entscheid/bger_8C_520_2014</w:t>
      </w:r>
    </w:p>
    <w:p>
      <w:r>
        <w:t>FR: TF 8C_520/2014 du 29 octobre 2014</w:t>
      </w:r>
    </w:p>
    <w:p>
      <w:r>
        <w:t>IT: TF 8C_520/2014 del 29 ottobre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Pflicht zur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Antrag in der Beschwerdeschrift ist die Höhe des Anspruchs auf eine Invalidenrente der SUVA ab dem 1. Oktober 2010 als Folge der Unfälle vom 18. August 2008 und vom 23. November 2011 streitig. Der Versicherte rügt eine Verletzung des Anspruchs auf rechtliches Gehör ( Art. 29 Abs. 2 BV ) sowie eine unvollständige, den Untersuchungsgrundsatz und die bundesrechtlichen Beweisvorschriften verletzende Sachverhaltsfeststellung.</w:t>
      </w:r>
    </w:p>
    <w:p>
      <w:r>
        <w:rPr>
          <w:b/>
        </w:rPr>
        <w:t>E. 2.1</w:t>
      </w:r>
    </w:p>
    <w:p>
      <w:r>
        <w:t>Die Vorinstanz hat die Grundlagen über die freie Beweiswürdigung ( Art. 61 lit. c ATSG ), den Beweisgrad der überwiegenden Wahrscheinlichkeit ( BGE 138 V 218 E. 6 S. 221) und den Beweiswert von Arztberichten ( BGE 134 V 231 E. 5.1 S. 232) richtig dargelegt. Gleiches gilt zur Invaliditätsbemessung nach dem Einkommensvergleich ( Art. 16 ATSG ; BGE 135 V 297 E. 5.1 f. S. 300 f., 130 V 343 E. 3.4 S. 348) sowie zum Anspruch auf eine Rente ( Art. 18 Abs. 1 UVG ). Darauf wird verwiesen.</w:t>
      </w:r>
    </w:p>
    <w:p>
      <w:r>
        <w:rPr>
          <w:b/>
        </w:rPr>
        <w:t>E. 2.2</w:t>
      </w:r>
    </w:p>
    <w:p>
      <w:r>
        <w:t>Laut Art. 43 Abs. 1 ATSG hat der Versicherungsträger (und gemäss Art. 61 lit. c ATSG auch das Sozialversicherungsgericht) den rechtserheblichen Sachverhalt nach dem Untersuchungsgrundsatz abzuklären, und zwar richtig und vollständig, so dass gestützt darauf die Verfügung über die jeweils in Frage stehende Leistung ergehen kann ( Art. 49 ATSG ;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(SVR 2010 AlV Nr. 2 S. 3 E. 2.2 mit Hinweis, 8C_269/2009).</w:t>
      </w:r>
    </w:p>
    <w:p>
      <w:r>
        <w:rPr>
          <w:b/>
        </w:rPr>
        <w:t>E. 2.3</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w:t>
      </w:r>
    </w:p>
    <w:p>
      <w:r>
        <w:t>Soweit der Beschwerdeführer eine höhere Rente ab Oktober 2010 beantragt, kann nicht darauf eingetreten werden. Der Einspracheentscheid vom 28. März 2011, mit welchem die Höhe des Anspruchs auf eine Invalidenrente ab 1. Oktober 2010 auf 12 % festgesetzt wurde, ist in Rechtskraft erwachsen. Der Beschwerdeführer begründet nicht, inwiefern darauf zurückzukommen ist. Ein Grund für eine Wiedererwägung ist nicht ersichtlich. Mit der Einsprache vom 26. Juni 2013 gegen die Verfügung vom 29. April 2013 wurde denn auch nicht der Zeitpunkt der revisionsweisen Erhöhung des Rentenanspruchs, sondern nur deren Höhe angefochten. Zu prüfen bleibt daher die Höhe des Rentenanspruchs nach Abschluss der Behandlung nach dem zweiten Unfall. Dieser Zeitpunkt wurde von der Beschwerdegegnerin auf den 1. August 2012 festgelegt, woran nichts auszusetzen ist.</w:t>
      </w:r>
    </w:p>
    <w:p>
      <w:r>
        <w:rPr>
          <w:b/>
        </w:rPr>
        <w:t>E. 4</w:t>
      </w:r>
    </w:p>
    <w:p>
      <w:r>
        <w:t>Die Vorinstanz beurteilte die gesundheitlichen Einschränkungen und die zumutbare Arbeitsfähigkeit des Versicherten gestützt auf die kreisärztliche Abschlussuntersuchung vom 19. September 2012. Zudem erwähnte sie Berichte des behandelnden Facharztes, Dr. med. D.________, innere Medizin FMH, speziell Rheumaerkrankungen, vom 9. Januar 2013 und 31. Mai 2013. Das kantonale Gericht folgerte daraus, beide Ärzte hätten an beiden Schultern einen annähernd gleichen Zustand gefunden. Hinsichtlich des Befundes gäbe es keine Differenz. Einzig bezüglich der Auswirkungen auf die Arbeitsfähigkeit erachte der Kreisarzt eine ausschliesslich leichte Tätigkeit, streng unterhalb der Horizontalen, ohne Stück- und Zeitakkord und ohne vermehrte Rotationsbewegungen, als ganztags zumutbar. Demgegenüber halte Dr. med. D.________ die Arbeitsfähigkeit auch in einer leidensangepassten Tätigkeit - welche beide Ärzte gleich definierten - zu 50 % eingeschränkt. Die Vorinstanz führt diesbezüglich aus, dem Umstand, dass nunmehr nicht nur eine, sondern beide Schultern betroffen seien, sei für die Beurteilung der Restarbeitsfähigkeit zweifellos Rechnung zu tragen. Jedoch liege der Schluss, für die leidensbedingt noch möglichen Tätigkeit sei statt ein volles nur noch ein Pensum vom 50 % möglich, nicht nahe. Der Einschätzung des Kreisarztes sei daher der Vorzug gegenüber derjenigen des Dr. med. D.________ zu geben.</w:t>
      </w:r>
    </w:p>
    <w:p>
      <w:r>
        <w:rPr>
          <w:b/>
        </w:rPr>
        <w:t>E. 5.1</w:t>
      </w:r>
    </w:p>
    <w:p>
      <w:r>
        <w:t>Der dargestellten vorinstanzlichen Begründung kann, wie der Beschwerdeführer zu Recht vorbringen lässt, nicht entnommen werden, auf Grund welcher Erkenntnisse und Erwägungen das kantonale Gericht zur Überzeugung gelangte, dem Beschwerdeführer sei zumutbar, in einer leidensangepassten Tätigkeit zu 100 % zu arbeiten. So wird nicht ausgeführt, weshalb nach Ansicht des Gerichts der Einschätzung des Kreisarztes gegenüber derjenigen von Dr. med. D.________ der Vorzug zu geben ist. Ebenso wird in der Entscheidbegründung zwar dargelegt, nach dem zweiten Unfall sei die Funktionsfähigkeit beider Schulter massiv eingeschränkt, was bei der Umschreibung des Belastungsprofils für die Beurteilung der Restarbeitsfähigkeit zu berücksichtigen sei. Indessen fehlt eine Konkretisierung dieser Erkenntnis im Entscheid. Darin liegt eine Verletzung des rechtlichen Gehörs (vgl. E. 2.3 hievor).</w:t>
      </w:r>
    </w:p>
    <w:p>
      <w:r>
        <w:rPr>
          <w:b/>
        </w:rPr>
        <w:t>E. 5.2</w:t>
      </w:r>
    </w:p>
    <w:p>
      <w:r>
        <w:t>Das Recht, angehört zu werden, ist formeller Natur. Die Verletzung des rechtlichen Gehörs führt ungeachtet der Erfolgsaussichten der Beschwerde in der Sache selbst zur Aufhebung der angefochtenen Verfügung. Vorliegend fällt zudem in Betracht, dass sich auch aus dem Bericht der kreisärztlichen Abschlussuntersuchung vom 19. September 2012 keine eindeutige Angabe über die noch zumutbare Arbeitsfähigkeit entnehmen lässt. Der Arzt führt zwar detailliert aus, welche Bewegungen bei einer zumutbaren Tätigkeit zu vermeiden seien und dass die Zumutbarkeit ganztags gelte. Indessen bestätigt er auch ausdrücklich die "vorhandene 50 %ige Arbeitsfähigkeit". Die Umschreibung "ganztags" betrifft einzig die zeitliche Verteilung, besagt aber nichts über die in diesem Zeitraum zu erwartende zumutbare Leistung. Diese ist indessen für die Bemessung des Invalideneinkommens und damit der Erwerbsunfähigkeit massgebend. Damit ist dem Aktenstück, auf welches sich die Vorinstanz beruft, keine eindeutige Aussage hinsichtlich der ärztlich geschätzten Zumutbarkeit der Arbeitsfähigkeit zu entnehmen. Die Sache wird daher an das kantonale Gericht zurückgewiesen, damit es in Nachachtung der Gewährung des rechtlichen Gehörs seinen Entscheid hinreichend begründet. Dabei wird es allenfalls auch Gelegenheit haben zu prüfen, ob die vorhandenen medizinischen Akten eine genügende Grundlage für die Beurteilung der sich stellenden Rechtsfragen zulassen oder ob - wie vorinstanzlich beantragt - diesbezüglich eine Begutachtung anzuordnen ist.</w:t>
      </w:r>
    </w:p>
    <w:p>
      <w:r>
        <w:rPr>
          <w:b/>
        </w:rPr>
        <w:t>E. 6</w:t>
      </w:r>
    </w:p>
    <w:p>
      <w:r>
        <w:t>Die Rückweisung der Sache an die Vorinstanz zu neuem Entscheid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137 V 210 E. 7.1 S. 271). Bei diesem Verfahrensausgang sind die Gerichtskosten (Art. 65 Abs. 1 und Abs. 4 lit. a BGG) von der SUVA als unterliegender Partei zu tragen ( Art. 66 Abs. 1 BGG ). Dem Beschwerdeführer, als aufgrund der angeordneten Rückweisung obsiegenden Partei ( BGE 132 V 215 E. 6.2), steht gegenüber dem Unfallversicherer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