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514/2017 vom 9. Oktober 2017</w:t>
      </w:r>
    </w:p>
    <w:p>
      <w:r>
        <w:t>Bundesgericht, 2017-10-09, DE</w:t>
      </w:r>
    </w:p>
    <w:p>
      <w:r>
        <w:rPr>
          <w:b/>
        </w:rPr>
        <w:t xml:space="preserve">Quelle: </w:t>
      </w:r>
      <w:r>
        <w:t>https://mcp.opencaselaw.ch/entscheid/bger_8C_514_2017</w:t>
      </w:r>
    </w:p>
    <w:p>
      <w:r>
        <w:t>FR: TF 8C 514/2017 du 9 octobre 2017</w:t>
      </w:r>
    </w:p>
    <w:p>
      <w:r>
        <w:t>IT: TF 8C 514/2017 del 9 ottobre 2017</w:t>
      </w:r>
    </w:p>
    <w:p>
      <w:pPr>
        <w:pStyle w:val="Heading2"/>
      </w:pPr>
      <w:r>
        <w:t>Regeste</w:t>
      </w:r>
    </w:p>
    <w:p>
      <w:r>
        <w:t>Unfallversicherung (Rente; Invaliditätsgrad)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den Einspracheentscheid vom 13. Februar 2017, womit dem Versicherten eine Invalidenrente bei einem Invaliditätsgrad von 38 % zugesprochen wurde, zu Recht geschützt hat. Das kantonale Gericht hat die für die Leistungspflicht des Unfallversicherers massgeblichen Bestimmungen und Grundsätze zutreffend dargelegt. Es wird darauf verwiesen.</w:t>
      </w:r>
    </w:p>
    <w:p>
      <w:r>
        <w:rPr>
          <w:b/>
        </w:rPr>
        <w:t>E. 3</w:t>
      </w:r>
    </w:p>
    <w:p>
      <w:r>
        <w:t>Im angefochtenen Entscheid wird bezüglich der Beurteilung der Arbeitsfähigkeit auf die Angaben im Bericht vom 6. Februar 2017 der Dr. med. C.________ und das dort ausgeführte Zumutbarkeitsprofil abgestellt. Demnach sind dem Beschwerdeführer leichte Arbeiten mit der Option, abwechselnd sitzend, gehend und stehend zu arbeiten in einem zeitlich reduzierten Pensum von 70 % zumutbar, soweit damit kein Arbeiten in der Höhe, in der Kälte, in Zwangshaltungen, mit Gewichten über 5 kg oder unter Stössen und Vibrationen verbunden sind. Das kantonale Gericht bestätigte unter Berücksichtigung eines sogenannten Leidensabzuges von 10 % den von der Suva ermittelten Invaliditätsgrad von 38 %.</w:t>
      </w:r>
    </w:p>
    <w:p>
      <w:r>
        <w:rPr>
          <w:b/>
        </w:rPr>
        <w:t>E. 4</w:t>
      </w:r>
    </w:p>
    <w:p>
      <w:r>
        <w:t>Der Beschwerdeführer rügt, in der Verfügung vom 12. Dezember 2016 sei die Suva als Ausgangswert für die Bestimmung des Invalideneinkommens von Fr. 58'676.- ausgegangen, wohingegen im Einspracheentscheid ein solches von Fr. 67'052.- herangezogen worden sei. Richtigerweise sei auf den Betrag von Fr. 58'676.- abzustellen und diesen an die zumutbare Arbeitsfähigkeit anzupassen und danach ein Abzug von 20 % vorzunehmen.</w:t>
      </w:r>
    </w:p>
    <w:p>
      <w:r>
        <w:rPr>
          <w:b/>
        </w:rPr>
        <w:t>E. 4.1</w:t>
      </w:r>
    </w:p>
    <w:p>
      <w:r>
        <w:t>Den vorinstanzlichen Erwägungen ist vollumfänglich beizupflichten. Der medizinische Sachverhalt ist, insbesondere auch bezüglich der dem Versicherten zumutbaren Arbeitsfähigkeit, genügend abgeklärt. Darin sind sich alle Ärzte einig. Wie im Folgenden dargelegt wird, ist dem kantonalen Gericht auch hinsichtlich des ermittelten Invaliditätsgrades zu folgen. Der Beschwerdeführer bringt nichts vor, was zu einem vom angefochtenen Entscheid abweichenden Ergebnis führen könnte. Mit den mehrheitlich bereits im kantonalen Verfahren erhobenen Einwendungen hat sich die Vorinstanz einlässlich auseinandergesetzt.</w:t>
      </w:r>
    </w:p>
    <w:p>
      <w:r>
        <w:rPr>
          <w:b/>
        </w:rPr>
        <w:t>E. 4.2.1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in der von der Schweizerischen Unfallversicherung (Suva) geführten Dokumentation über Arbeitsplätze (DAP) erfassten Zahlen herangezogen werden ( BGE 129 V 472 E. 4.2.1 S. 475 mit Hinweisen).</w:t>
      </w:r>
    </w:p>
    <w:p>
      <w:r>
        <w:rPr>
          <w:b/>
        </w:rPr>
        <w:t>E. 4.2.2</w:t>
      </w:r>
    </w:p>
    <w:p>
      <w:r>
        <w:t>Der Beschwerdeführer hat nach seinem Unfall keine Erwerbstätigkeit mehr aufgenommen. Die Suva legte ihrer Verfügung vom 12. Dezember 2016 für die Bemessung des hypothetischen Invalideneinkommens DAP-Unterlagen zu Grunde und ermittelte dabei ein Invalideneinkommen von Fr. 58'676.-. Im Rahmen des Einspracheverfahrens hielt Dr. med. C.________ dafür, es sei entgegen der kreisärztlichen Beurteilung - mit welcher eine 100%ige Arbeitsfähigkeit in einer angepassten Tätigkeit attestiert worden war - bezüglich dem zeitlichen und leistungsmässigen Umfang auf die Beurteilung der behandelnden Ärzte am Zentrum D.________ abzustellen, welche ein Pensum von 70 % als zumutbar erachteten. Da bei drei der fünf ausgewählten DAP-Arbeitsplätzen eine Teilzeittätigkeit nicht möglich war, konnten diese nicht mehr zur Ermittlung des Invalideneinkommens herangezogen werden. Entsprechend stützte sich die Suva im Einspracheentscheid bezüglich des Invalideneinkommens auf die LSE 2014 (Tabelle TA1, Total Männer, Kompetenzniveau 1). Wie dargelegt (vgl. E. 4.2.1 hievor), kann die Unfallversicherung für die Festsetzung des hypothetischen Invalideneinkommens entweder auf Tabellenlöhne gemäss LSE oder auf DAP-Zahlen abstellen. Im Beschwerdeverfahren ist es Sache des angerufenen Gerichts, die Rechtskonformität der DAP-Invaliditätsbemessung zu prüfen. Genügt sie den rechtsprechungsgemässen Anforderungen gemäss BGE 129 V 472 nicht, hat es einen Tabellenlohnvergleich gestützt auf die LSE vorzunehmen ( BGE 129 V 472 E. 4.2.2 in fine S. 481). Vorliegend hat die Suva im Einspracheverfahren erkannt, dass wegen der geänderten Anforderungen an einen angepassten Arbeitsplatz (Teilzeittätigkeit muss möglich sein) der DAP-Lohnvergleich nicht mehr rechtskonform durchgeführt werden kann. Entsprechend hat sie das Invalideneinkommen mittels der LSE bestimmt. Das kantonale Gericht bestätigte den sich daraus ergebenden Ausgangswert von Fr. 67'052.- daher zu Recht.</w:t>
      </w:r>
    </w:p>
    <w:p>
      <w:r>
        <w:rPr>
          <w:b/>
        </w:rPr>
        <w:t>E. 4.3</w:t>
      </w:r>
    </w:p>
    <w:p>
      <w:r>
        <w:t>Weiter wird geltend gemacht, die Vorinstanz habe Bundesrecht verletzt, indem sie den Abzug von 10 % vom Tabellenlohn bestätigte. Der Beschwerdeführer macht einen solchen von 20 % geltend.</w:t>
      </w:r>
    </w:p>
    <w:p>
      <w:r>
        <w:rPr>
          <w:b/>
        </w:rPr>
        <w:t>E. 4.3.1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 BGE 135 V 297 E. 5.2 mit Hinweisen; Urteil 8C_379/2011 vom 26. August 2011 E. 4.2.2). Der Abzug darf 25 % nicht übersteigen ( BGE 135 V 297 E. 5.2 S. 301; 126 V 75 E. 5b/bb-cc S. 80; vgl. auch Urteil 8C_319/2017 vom 6. September 2017 E. 3.2 mit Hinweis). Ob ein behinderungsbedingt oder anderweitig begründeter Abzug vom Tabellenlohn vorzunehmen ist, stellt eine frei überprüfbare Rechtsfrage dar ( BGE 132 V 393 E. 3.3 S. 399; Urteil 8C_604/2011 vom 23. Januar 2012 E. 4.2.1). Die Festlegung der Höhe eines solchen Leidensabzugs hingegen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Ermessensüberschreitung oder -unterschreitung bzw. bei Ermessensmissbrauch als Formen rechtsfehlerhafter ( Art. 95 lit. a BGG ) Ermessensbetätigung ( BGE 132 V 393 E. 2.2 S. 396 und E. 3.3 S. 399).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 zum Ganzen: Urteil 8C_64/2008 vom 4. Februar 2009 E. 3.2).</w:t>
      </w:r>
    </w:p>
    <w:p>
      <w:r>
        <w:rPr>
          <w:b/>
        </w:rPr>
        <w:t>E. 4.3.2</w:t>
      </w:r>
    </w:p>
    <w:p>
      <w:r>
        <w:t>Das kantonale Gericht erwog, lohnmindernd sei zu berücksichtigen, dass der Versicherte nunmehr nur noch eine leichte Arbeit in Wechselbelastung mit Einschränkungen der Belastbarkeit der Lendenwirbelsäule ausüben könne, und dass er zudem auf eine Teilzeittätigkeit in einem Pensum von 70 % angewiesen sei. Es bestätigte den bereits von der Suva vorgenommenen Abzug von 10 %. Der Beschwerdeführer beruft sich insbesondere darauf, die medizinisch ausgewiesenen zahlreichen Einschränkungen würden die Ausübung seines erlernten Berufes als Telematiker erheblich einschränken, weshalb ein höherer Abzug gerechtfertigt sei. Die Notwendigkeit eines Berufswechsels wurde indessen bereits berücksichtigt, indem bei der Ermittlung des hypothetischen Invalideneinkommens auf das - niedrigste - Kompetenzniveau 1 der LSE 2014 abgestellt wurde. Auch die weiteren medizinisch begründeten Einschränkungen, wie beispielsweise die Notwendigkeit genügender Erholungszeit, wurde mit dem reduzierten Arbeitspensum von 70 % berücksichtigt. Beide Faktoren können daher nicht ein zweites Mal beim Abzug vom Tabellenlohn miteinbezogen werden. Auch wenn der Beschwerdeführer Gerichtsurteile anführt, die seines Erachtens Fälle mit medizinischen Einschränkungen betreffen, die mit seinen eigenen vergleichbar sind und bei denen ein höherer Abzug gewährt worden ist, begründet dies noch keine rechtsfehlerhafte Ausübung des vorinstanzlichen Ermessens (vgl. E. 4.3.1 hievor). Auch von einer Gehörsverletzung wegen ungenügender Begründung kann in diesem Zusammenhang nicht die Rede sein. Im Übrigen werden die Feststellungen des kantonalen Gerichts zu den erwerblichen Auswirkungen nicht beanstandet und geben keinen Anlass zu Weiterungen. Der Invaliditätsgrad beträgt gestützt darauf 38 %.</w:t>
      </w:r>
    </w:p>
    <w:p>
      <w:r>
        <w:rPr>
          <w:b/>
        </w:rPr>
        <w:t>E. 5</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