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8C_513/2021 vom 23. September 2021</w:t>
      </w:r>
    </w:p>
    <w:p>
      <w:r>
        <w:t>Bundesgericht, 2021-09-23, DE</w:t>
      </w:r>
    </w:p>
    <w:p>
      <w:r>
        <w:rPr>
          <w:b/>
        </w:rPr>
        <w:t xml:space="preserve">Quelle: </w:t>
      </w:r>
      <w:r>
        <w:t>https://mcp.opencaselaw.ch/entscheid/bger_8C_513_2021</w:t>
      </w:r>
    </w:p>
    <w:p>
      <w:r>
        <w:t>FR: TF 8C_513/2021 du 23 septembre 2021</w:t>
      </w:r>
    </w:p>
    <w:p>
      <w:r>
        <w:t>IT: TF 8C_513/2021 del 23 settembre 2021</w:t>
      </w:r>
    </w:p>
    <w:p>
      <w:pPr>
        <w:pStyle w:val="Heading2"/>
      </w:pPr>
      <w:r>
        <w:t>Volltext</w:t>
      </w:r>
    </w:p>
    <w:p>
      <w:r>
        <w:t>Bundesgericht</w:t>
      </w:r>
    </w:p>
    <w:p>
      <w:r>
        <w:t>Tribunal fédéral</w:t>
      </w:r>
    </w:p>
    <w:p>
      <w:r>
        <w:t>Tribunale federale</w:t>
      </w:r>
    </w:p>
    <w:p>
      <w:r>
        <w:t>Tribunal federal</w:t>
      </w:r>
    </w:p>
    <w:p>
      <w:r>
        <w:t>8C_513/2021</w:t>
      </w:r>
    </w:p>
    <w:p>
      <w:r>
        <w:t>Urteil vom 23.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Sozialversicherungsgerichts des Kantons Basel-Stadt vom 14. Juli 2021 (UV.2021.17).</w:t>
      </w:r>
    </w:p>
    <w:p>
      <w:r>
        <w:t>Nach Einsicht</w:t>
      </w:r>
    </w:p>
    <w:p>
      <w:r>
        <w:t>in die Beschwerde vom 27. Juli 2021 gegen das gemäss postamtlicher Bescheinigung am 17. Juli 2021 in Empfang genommene Urteil des Sozialversicherungsgerichts des Kantons Basel-Stadt vom 14. Juli 2021,</w:t>
      </w:r>
    </w:p>
    <w:p>
      <w:r>
        <w:t>in die Mitteilung des Bundesgerichts vom 29. Juli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44 - 48 in Verbindung mit Art. 100 Abs. 1 BGG am 14. September 2021 abgelaufenen Rechtsmittelfrist keine weitere Eingabe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der Beschwerdeführer unter Verweis auf von ihm injizierte weitere medizinische Abklärungen allein geltend macht, sein Gesundheitszustand sei (nach wie vor) schlecht,</w:t>
      </w:r>
    </w:p>
    <w:p>
      <w:r>
        <w:t>dass er es dabei unterlässt aufzuzeigen, inwiefern die zur Leistungsverweigerung ab 1. April 2021 führenden vorinstanzlichen Erwägungen zum Fehlen eines Kausalzusammenhangs zwischen den geltend gemachten Beschwerden und dem Unfall vom 18. Juli 2020 auf unzutreffenden Sachverhaltsfeststellungen im Sinne von Art. 97 Abs. 2 BGG beruhen oder rechtsfehlerhaft sein sollen,</w:t>
      </w:r>
    </w:p>
    <w:p>
      <w:r>
        <w:t>dass dergestalt die Beschwerde offensichtlich nicht den eingangs aufgezeigten Begründungsanforderungen zu genügen vermag,</w:t>
      </w:r>
    </w:p>
    <w:p>
      <w:r>
        <w:t>dass deshalb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23.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