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8C_513/2009 vom 2. September 2009</w:t>
      </w:r>
    </w:p>
    <w:p>
      <w:r>
        <w:t>Bundesgericht, 2009-09-02, DE</w:t>
      </w:r>
    </w:p>
    <w:p>
      <w:r>
        <w:rPr>
          <w:b/>
        </w:rPr>
        <w:t xml:space="preserve">Quelle: </w:t>
      </w:r>
      <w:r>
        <w:t>https://mcp.opencaselaw.ch/entscheid/bger_8C_513_2009</w:t>
      </w:r>
    </w:p>
    <w:p>
      <w:r>
        <w:t>FR: TF 8C_513/2009 du 2 septembre 2009</w:t>
      </w:r>
    </w:p>
    <w:p>
      <w:r>
        <w:t>IT: TF 8C_513/2009 del 2 settembre 2009</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Das kantonale Gericht hat die Bestimmungen und Grundsätze zum Anspruch auf eine Invalidenrente ( Art. 28 Abs. 1 IVG ) und zur Ermittlung des Invaliditätsgrades bei erwerbstätigen Versicherten nach der Einkommensvergleichsmethode ( Art. 16 ATSG ) sowie zum Beweiswert von medizinischen Gutachten und Berichten ( BGE 125 V 351 E. 3b/bb S. 353) zutreffend dargelegt. Darauf wird verwiesen.</w:t>
      </w:r>
    </w:p>
    <w:p>
      <w:r>
        <w:rPr>
          <w:b/>
        </w:rPr>
        <w:t>E. 3</w:t>
      </w:r>
    </w:p>
    <w:p>
      <w:r>
        <w:t>Streitig ist, ob die Beschwerdeführerin Anspruch auf eine Rente der Invalidenversicherung hat. In Abweichung der Einschätzung des von der IV-Stelle beauftragen Dr. med. M.________, welcher die Diagnose einer die Arbeitsfähigkeit um 50% beeinträchtigenden anhaltenden somatoformen Schmerzstörung stellte, sind Verwaltung und Vorinstanz davon ausgegangen, dass der Versicherten eine volle Arbeitsleistung zuzumuten sei. Dabei stützen sie sich auf einen Untersuchungsbericht des Regionalen Ärztlichen Dienstes (RAD) vom 28. November 2007, wonach die gutachterliche Einschätzung der Arbeitsunfähigkeit nicht nachvollziehbar sei. Dagegen richtet sich die vorliegend zu beurteilende Beschwerde.</w:t>
      </w:r>
    </w:p>
    <w:p>
      <w:r>
        <w:rPr>
          <w:b/>
        </w:rPr>
        <w:t>E. 4.1</w:t>
      </w:r>
    </w:p>
    <w:p>
      <w:r>
        <w:t>Wie das Bundesgericht in BGE 125 V 351 erkannt hat, haben Versicherungsträger und Sozialversicherungsrichter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351 E. 3a S. 352).</w:t>
      </w:r>
    </w:p>
    <w:p>
      <w:r>
        <w:rPr>
          <w:b/>
        </w:rPr>
        <w:t>E. 4.2</w:t>
      </w:r>
    </w:p>
    <w:p>
      <w:r>
        <w:t>Beim Bericht des Dr. med. V.________ vom 28. November 2007 handelt es sich um einen RAD-Untersuchungsbericht gemäss Art. 49 Abs. 2 IVV (zur Unterscheidung eines RAD-Berichts gemäss aArt. 49 Abs. 3 IVV [in Kraft gewesen bis zum 31. Dezember 2007 und damit vorliegend grundsätzlich anwendbar] und eines RAD-Untersuchungsberichts gemäss Art. 49 Abs. 2 IVV : vergleiche Urteil 8C_756/2008 vom 4. Juni 2009 E. 4 mit zahlreichen Hinweisen). Wie das kantonale Gericht zu Recht ausgeführt hat, kommt diesem Untersuchungsbericht gegenüber dem Gutachten keine erhöhte Beweiskraft zu. Die Vorinstanz ist im Ergebnis indessen der Verwaltung insofern gefolgt, als sie ausführt, inhaltlich vermöge das psychiatrische Gutachten bezüglich der Einschätzung der Arbeitsfähigkeit nicht zu überzeugen, da es eine invalidisierende Wirkung einer anhaltenden somatoformen Schmerzstörung bejahe, ohne dies anhand der vom Bundesgericht (in BGE 131 V 49 E. 1.2 und 130 V 352) als massgeblich festgelegten Kriterien zu begründen.</w:t>
      </w:r>
    </w:p>
    <w:p>
      <w:r>
        <w:rPr>
          <w:b/>
        </w:rPr>
        <w:t>E. 4.3</w:t>
      </w:r>
    </w:p>
    <w:p>
      <w:r>
        <w:t>Die Vorinstanz übersieht dabei, dass es nicht die Aufgabe eines Gutachters, sondern ausschliesslich diejenige der rechtsanwendenden Behörde ist zu entscheiden, ob ein bestimmter Gesundheitsschaden invalidisierend im Sinne der Rechtsprechung ist. Der ärztliche Gutachter hat einzig den medizinischen Sachverhalt zu beschreiben, die ihm gestellten Fragen zu beantworten und die sich aus seiner Sicht daraus ergebenden rein medizinischen Schlussfolgerungen hinsichtlich der Arbeitsfähigkeit zu schildern. Ob sich aus diesem Sachverhalt ein Anspruch auf Leistungen ergibt, ist eine Rechtsfrage, über die sich ein Arzt nicht zu äussern hat. Die IV-Stelle hat es ohne Begründung unterlassen, dem von ihr selbst beauftragten Gutachter die für ihre Entscheidfindung relevanten Fragen - so unter anderem, ob es der Explorandin aus gutachterlicher Sicht möglich sei, ihre Beschwerden willentlich zu überwinden und dadurch eine höhere Arbeitsfähigkeit zu erzielen, wenn nein, warum nicht und wenn ja, weshalb - zu unterbreiten. Anstatt dem Experten Ergänzungsfragen zu stellen, ignorierte sie das Gutachten und erliess einen Einspracheentscheid, welcher im Prinzip dem nach der Begutachtung erstellten Untersuchungsbericht ihres RAD-Arztes entspricht.</w:t>
      </w:r>
    </w:p>
    <w:p>
      <w:r>
        <w:t>Das kantonale Gericht hat im weiteren festgestellt, dass Dr. med. V.________ eine invalidisierende Wirkung der somatoformen Schmerzstörung vor allem deshalb verneine, weil keine psychische Komorbidität bestehe. Die weiteren praxisgemäss relevanten Kriterien seien von der IV-Stelle nicht geprüft worden. Einzig begründet mit fehlenden Anhaltspunkten in den vorhandenen Akten wird im angefochtenen Entscheid in antizipierter Beweiswürdigung die Schlussfolgerung gezogen, es sei mit überwiegender Wahrscheinlichkeit davon auszugehen, dass die diagnostizierte somatoforme Schmerzstörung sich bei der Beschwerdeführerin nicht invalidisierend auswirke.</w:t>
      </w:r>
    </w:p>
    <w:p>
      <w:r>
        <w:rPr>
          <w:b/>
        </w:rPr>
        <w:t>E. 4.4</w:t>
      </w:r>
    </w:p>
    <w:p>
      <w:r>
        <w:t>Im angefochtenen Entscheid wurde weiter festgestellt, sowohl das Gutachten des Dr. med. M.________ als auch der RAD-Untersuchungsbericht seien für die zu entscheidenden Fragen unvollständig. Trotzdem hat das kantonale Gericht weder selbst den Sachverhalt vollständig abgeklärt, noch die Sache an die Verwaltung zurückgewiesen. Schliesslich wird gemäss Wortlaut im angefochtenen Entscheid die von Dr. med. M.________ gestellte Diagnose einer somatoformen Schmerzstörung nicht in Frage gestellt. Damit hat die Vorinstanz ihre Beurteilung der (nicht) invalidisierenden Wirkung der psychiatrischen Diagnose auf eine unvollständige Aktenlage und damit nicht auf medizinisches Fachwissen gestützt. Sie verletzt damit Bundesrecht (siehe Urteil 9C_410/2008 vom 8. September 2008 E. 3.3.1).</w:t>
      </w:r>
    </w:p>
    <w:p>
      <w:r>
        <w:rPr>
          <w:b/>
        </w:rPr>
        <w:t>E. 5</w:t>
      </w:r>
    </w:p>
    <w:p>
      <w:r>
        <w:t>Zu prüfen bleibt, ob es zur Entscheidung über die invalidisierende Wirkung des diagnostizerten Gesundheitsschadens ergänzender medizinischer Abklärungen bedarf.</w:t>
      </w:r>
    </w:p>
    <w:p>
      <w:r>
        <w:t>Entgegen der Darstellung im angefochtenen Entscheid führt Dr. med. M.________ die ab Ende 2004 verminderte Arbeitsfähigkeit auch auf einen starken emotionalen Konflikt im Arbeitsumfeld zurück. Die Versicherte habe sich weniger verstanden und weniger als Person akzeptiert gefühlt, worauf sie mit einer Verstärkung der Schmerzen habe reagieren müssen, da sie sich nicht anders habe ausdrücken können. Damit beschreibt der Gutachter einen primären Krankheitsgewinn im Sinne der Rechtsprechung. Das alleine genügt indessen noch nicht, um eine invalidisierende Wirkung der diagnostizierten Krankheit zu bejahen. Es fehlt im Gutachten eine nähere Begründung der Schlussfolgerungen oder fremdanamnestische Grundlagen, welche die beschriebene Konfliktsituation ersichtlich machen würden. Keiner der Gutachter/Untersucher äussert sich darüber hinaus zu der seit dem Unfall offenbar massiv eingetretenen Gewichtszunahme (nach Aktenlage mehr als eine Verdoppelung) und deren Stellenwert in der Gesamtsituation. Die Sache ist daher an die Vorinstanz zurückzuweisen, damit diese bei sich widersprechender medizinischer Aktenlage ein psychiatrisches Obergutachten einholt. Sie wird mit einer umfassenden Fragestellung dafür zu sorgen haben, dass eine vollständige Grundlage zur Entscheidung über die eventuell invalidisierende Wirkung der gestellten Diagnosen vorhanden sein wird.</w:t>
      </w:r>
    </w:p>
    <w:p>
      <w:r>
        <w:rPr>
          <w:b/>
        </w:rPr>
        <w:t>E. 6</w:t>
      </w:r>
    </w:p>
    <w:p>
      <w:r>
        <w:t>Das Verfahren ist kostenpflichtig ( Art. 65 BGG ). Die Gerichtskosten werden dem Prozessausgang entsprechend (Gutheissung des Eventualantrages) der Beschwerdegegnerin auferlegt ( Art. 66 Abs. 1 Satz 1 BGG ); des Weiteren hat sie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