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8C_512/2019 vom 3. September 2019</w:t>
      </w:r>
    </w:p>
    <w:p>
      <w:r>
        <w:t>Bundesgericht, 2019-09-03, DE</w:t>
      </w:r>
    </w:p>
    <w:p>
      <w:r>
        <w:rPr>
          <w:b/>
        </w:rPr>
        <w:t xml:space="preserve">Quelle: </w:t>
      </w:r>
      <w:r>
        <w:t>https://mcp.opencaselaw.ch/entscheid/bger_8C_512_2019</w:t>
      </w:r>
    </w:p>
    <w:p>
      <w:r>
        <w:t>FR: TF 8C_512/2019 du 3 septembre 2019</w:t>
      </w:r>
    </w:p>
    <w:p>
      <w:r>
        <w:t>IT: TF 8C_512/2019 del 3 settembre 2019</w:t>
      </w:r>
    </w:p>
    <w:p>
      <w:pPr>
        <w:pStyle w:val="Heading2"/>
      </w:pPr>
      <w:r>
        <w:t>Volltext</w:t>
      </w:r>
    </w:p>
    <w:p>
      <w:r>
        <w:t>Bundesgericht</w:t>
      </w:r>
    </w:p>
    <w:p>
      <w:r>
        <w:t>Tribunal fédéral</w:t>
      </w:r>
    </w:p>
    <w:p>
      <w:r>
        <w:t>Tribunale federale</w:t>
      </w:r>
    </w:p>
    <w:p>
      <w:r>
        <w:t>Tribunal federal</w:t>
      </w:r>
    </w:p>
    <w:p>
      <w:r>
        <w:t>8C_512/2019</w:t>
      </w:r>
    </w:p>
    <w:p>
      <w:r>
        <w:t>Urteil vom 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7. Juni 2019 (VBE.2018.776).</w:t>
      </w:r>
    </w:p>
    <w:p>
      <w:r>
        <w:t>Nach Einsicht</w:t>
      </w:r>
    </w:p>
    <w:p>
      <w:r>
        <w:t>in die Beschwerde vom 16. August 2019 (Poststempel) gegen den Entscheid des Versicherungsgerichts des Kantons Aargau vom 7. Juni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Würdigung der ins Recht gelegten Akten, insbesondere jener des Gastroenterologen Prof. Dr. med. B.________, der Praxis C.________ und des RAD-Arztes Dr. med. D.________, zur Überzeugung gelangte, dem Beschwerdeführer sei es im Rahmen der am 8. November 2017 erfolgten Neuanmeldung nicht gelungen, anspruchserhebliche Tatsachenänderungen seit der letzten Renten ablehnenden Verfügung der IV-Stelle vom 6. März 2017 glaubhaft zu machen, was zur Bestätigung der Nichteintretensverfügung der IV-Stelle vom 31. August 2018 auf die Neuanmeldung führte,</w:t>
      </w:r>
    </w:p>
    <w:p>
      <w:r>
        <w:t>dass der Beschwerdeführer zwar die dabei vorgenommene Würdigung der Arztberichte kritisiert, ohne indessen näher dazulegen, inwiefern die von der Vorinstanz insbesondere auf der Grundlage der Stellungnahmen des RAD-Arztes vom 5. Juni und 23. Juli 2018 getroffene Schlussfolgerung, zwar seien seit dem letzten Rentenentscheid von Seiten der Gastroenterologie und Pneumologie neue Diagnosen hinzugekommen, daraus ergäben sich indessen keine (neuen, zusätzlichen) funktionelle Einschränkungen in einer dem (übrigen Leiden) angepassten leichten Tätigkeit, auf einer qualifiziert falschen, sprich willkürlichen Beweiswürdigung beruhen soll,</w:t>
      </w:r>
    </w:p>
    <w:p>
      <w:r>
        <w:t>dass er im Übrigen zur Hauptsache die aus der Zeit vor der ersten Rentenverweigerung erstellten Arztberichte bemängelt, was aber von vornherein nicht geeignet ist, damit eine hernach ergangene anspruchserhebliche Veränderung des Gesundheitszustandes zu belegen, weshalb diese Vorbringen an der Sache vorbeizielen,</w:t>
      </w:r>
    </w:p>
    <w:p>
      <w:r>
        <w:t>dass der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weshalb sich das Gesuch um Kostenbefreiung als gegegenstandslos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Vorsorge E.________ schriftlich mitgeteilt.</w:t>
      </w:r>
    </w:p>
    <w:p>
      <w:r>
        <w:t>Luzern, 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