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8C_512/2011 vom 21. September 2011</w:t>
      </w:r>
    </w:p>
    <w:p>
      <w:r>
        <w:t>Bundesgericht, 2011-09-21, DE</w:t>
      </w:r>
    </w:p>
    <w:p>
      <w:r>
        <w:rPr>
          <w:b/>
        </w:rPr>
        <w:t xml:space="preserve">Quelle: </w:t>
      </w:r>
      <w:r>
        <w:t>https://mcp.opencaselaw.ch/entscheid/bger_8C_512_2011</w:t>
      </w:r>
    </w:p>
    <w:p>
      <w:r>
        <w:t>FR: TF 8C_512/2011 du 21 septembre 2011</w:t>
      </w:r>
    </w:p>
    <w:p>
      <w:r>
        <w:t>IT: TF 8C_512/2011 del 21 settembre 2011</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auch wenn diese vor Bundesgericht nicht mehr aufgeworfen werden ( BGE 133 II 249 E. 1.4.1 S. 254).</w:t>
      </w:r>
    </w:p>
    <w:p>
      <w:r>
        <w:rPr>
          <w:b/>
        </w:rPr>
        <w:t>E. 2</w:t>
      </w:r>
    </w:p>
    <w:p>
      <w:r>
        <w:t>Im angefochtenen Entscheid sind die Bestimmungen über den Anspruch auf Taggeldleistungen ( Art. 16 Abs. 1 UVG ) der obligatorischen Unfallversicherung zutreffend dargelegt. Ergänzend ist festzuhalten, dass die Leistungspflicht eines Unfallversicherers gemäss UVG voraussetzt, dass zwischen dem Unfallereignis und dem eingetretenen Schaden (Krankheit, Invalidität, Tod) ein natürlicher und ein adäquater Kausalzusammenhang besteht ( BGE 129 V 177 E. 3.1 und 3.2 S. 181).</w:t>
      </w:r>
    </w:p>
    <w:p>
      <w:r>
        <w:rPr>
          <w:b/>
        </w:rPr>
        <w:t>E. 3</w:t>
      </w:r>
    </w:p>
    <w:p>
      <w:r>
        <w:t>Anfechtungs- und Streitgegenstand bildet einzig die Frage, ob die SUVA die Taggeldleistungen zu Recht auf Ende Oktober 2009 einstellte. Dabei ist insbesondere zu prüfen, ob der Versicherte im Einspracheverfahren in unentschuldbarer Weise die Auskunfts- und Mitwirkungspflicht verletzt hat ( Art. 43 Abs 3 ATSG ; vgl. auch SVR 2009 UV Nr. 43 S. 150 E. 5.5 Ingress und 5.5.1). Auf die weiteren Begehren des Beschwerdeführers, soweit damit andere Leistungen beantragt werden (Übernahme von weiteren Heilbehandlungskosten und Reisespesen), ist daher nicht einzutreten ( BGE 125 V 413 E. 1 S. 414 f.).</w:t>
      </w:r>
    </w:p>
    <w:p>
      <w:r>
        <w:rPr>
          <w:b/>
        </w:rPr>
        <w:t>E. 3.1</w:t>
      </w:r>
    </w:p>
    <w:p>
      <w:r>
        <w:t>Die Vorinstanz begründete einlässlich, weshalb eine grundsätzlich beweistaugliche und zumutbare Begutachtung durch Dr. med. H.________ ( BGE 136 V 376 E. 4 S. 377 ff.) unentbehrlich gewesen wäre (vgl. Urteil 9C_28/2010 vom 12. März 2010 E. 4.1 mit Hinweisen). Wenn das kantonale Gericht nach sorgfältiger Würdigung der medizinischen Aktenlage das Vorgehen der Beschwerdegegnerin schützte, welche mit Blick darauf, dass die durchgeführte lokale Infiltration des frakturierten Os coccygis keine endgültige Klärung der Frage brachte, ob die bestehenden Beschwerden auf die Fraktur des Steissbeines zurückzuführen und damit unfallbedingt sind (Bericht des SUVA-Kreisarztes Dr. W.________ vom 8. September 2008), eine Begutachtung bei Dr. med. H.________ durchführen lassen wollte, verletzte es kein Bundesrecht. Es durfte sich hierbei auch auf die überzeugende Beurteilung des Dr. med. K.________, Facharzt für Orthopädische Chirurgie FMH, SUVA Versicherungsmedizin, vom 11. Mai 2009, stützen, der eine Expertise zur Klärung der Frage einer posttraumatischen Coccygodynie mit Auswirkung auf die Arbeitsfähigkeit für unumgänglich hielt. Dass eine zusätzliche Abklärung immer eine Belastung für die betroffene Person bedeutet, kann nicht dazu führen, dass die rechtsanwendenden Behörden auf eine weitere Begutachtung verzichten, obwohl sie zur Auffassung gelangt sind, aufgrund der vorhandenen Akten keine rechtsgenügliche Beurteilung vornehmen zu können. Dr. med. K.________ legte dar, dass die Zugreise von X.________ nach Y.________ zumutbar gewesen wäre, da eine Reise mit der Bahn für eine Person mit Coccygodynie problemlos möglich sei.</w:t>
      </w:r>
    </w:p>
    <w:p>
      <w:r>
        <w:rPr>
          <w:b/>
        </w:rPr>
        <w:t>E. 3.2</w:t>
      </w:r>
    </w:p>
    <w:p>
      <w:r>
        <w:t>Der Beschwerdeführer hat es sich demnach selbst zuzuschreiben, dass die SUVA über ihre allfällige weitere Leistungspflicht ab 1. November 2009 nicht gestützt auf die Ergebnisse einer Begutachtung bei Dr. med. H.________ befinden konnte, sondern einen Entscheid über das strittige Leistungsbegehren aufgrund und in Würdigung der verfügbaren Akten vornahm ( BGE 131 V 42 E. 3 S. 47). Laut der erneuten Beurteilung des Dr. med. K.________ (vom 8. Oktober 2009) besteht für die Tätigkeit als Übersetzer eine volle Arbeitsfähigkeit. Die Schlussfolgerung des kantonalen Gerichts, es lägen nur noch möglicherweise Folgen des am 9. Dezember 2003 erlittenen Unfalls vor, weshalb eine unfallkausale Arbeitsunfähigkeit nicht nachgewiesen sei, ist nicht zu beanstanden.</w:t>
      </w:r>
    </w:p>
    <w:p>
      <w:r>
        <w:rPr>
          <w:b/>
        </w:rPr>
        <w:t>E. 4</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