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511/2008 vom 6. Juli 2009</w:t>
      </w:r>
    </w:p>
    <w:p>
      <w:r>
        <w:t>Bundesgericht, 2009-07-06, DE</w:t>
      </w:r>
    </w:p>
    <w:p>
      <w:r>
        <w:rPr>
          <w:b/>
        </w:rPr>
        <w:t xml:space="preserve">Quelle: </w:t>
      </w:r>
      <w:r>
        <w:t>https://mcp.opencaselaw.ch/entscheid/bger_8C_511_2008</w:t>
      </w:r>
    </w:p>
    <w:p>
      <w:r>
        <w:t>FR: TF 8C 511/2008 du 6 juillet 2009</w:t>
      </w:r>
    </w:p>
    <w:p>
      <w:r>
        <w:t>IT: TF 8C 511/2008 del 6 luglio 2009</w:t>
      </w:r>
    </w:p>
    <w:p>
      <w:pPr>
        <w:pStyle w:val="Heading2"/>
      </w:pPr>
      <w:r>
        <w:t>Regeste</w:t>
      </w:r>
    </w:p>
    <w:p>
      <w:r>
        <w:t>Unfallversicherung | Unfallversicherung</w:t>
      </w:r>
    </w:p>
    <w:p>
      <w:pPr>
        <w:pStyle w:val="Heading2"/>
      </w:pPr>
      <w:r>
        <w:t>Erwägungen</w:t>
      </w:r>
    </w:p>
    <w:p>
      <w:r>
        <w:rPr>
          <w:b/>
        </w:rPr>
        <w:t>E. 1</w:t>
      </w:r>
    </w:p>
    <w:p>
      <w:r>
        <w:t>Die Beschwerde gegen einen Entscheid ist - von hier nicht interessierenden Ausnahmen abgesehen - gemäss Art. 100 Abs. 1 BGG innert 30 Tagen nach der Eröffnung der vollständigen Ausfertigung beim Bundesgericht einzureichen. Fristen, die durch eine Mitteilung oder den Eintritt eines Ereignisses ausgelöst werden, beginnen am folgenden Tag zu laufen ( Art. 44 Abs. 1 BGG ). Eingaben müssen spätestens am letzten Tag der Frist beim Bundesgericht eingereicht oder zu dessen Handen der Schweizerischen Post oder einer schweizerischen diplomatischen oder konsularischen Vertretung übergeben werden ( Art. 48 Abs. 1 BGG ).</w:t>
      </w:r>
    </w:p>
    <w:p>
      <w:r>
        <w:rPr>
          <w:b/>
        </w:rPr>
        <w:t>E. 2</w:t>
      </w:r>
    </w:p>
    <w:p>
      <w:r>
        <w:t>Der vorinstanzliche Entscheid erging am 30. April 2008. Das kantonale Gericht stellte diesen direkt per Post an den Vertreter des Versicherten in Deutschland zu. Somit ist zunächst zu prüfen, ob diese direkte Zustellung zulässig war.</w:t>
      </w:r>
    </w:p>
    <w:p>
      <w:r>
        <w:rPr>
          <w:b/>
        </w:rPr>
        <w:t>E. 2.1</w:t>
      </w:r>
    </w:p>
    <w:p>
      <w:r>
        <w:t>Art. 32 des Abkommens vom 25. Februar 1964 zwischen der Schweizerischen Eidgenossenschaft und der Bundesrepublik Deutschland über Soziale Sicherheit (SR 0.831.109.136.1; nachfolgend: Abkommen mit Deutschland) erlaubt den Behörden, Gerichten und Trägern der Vertragsparteien bei Anwendung des Abkommens unmittelbar miteinander und mit den beteiligten Personen und ihren Vertretern in ihren Amtssprachen zu verkehren. Diese unmittelbar anwendbare Bestimmung (vgl. hiezu Patrick Edgar Holzer, Die Ermittlung der innerstaatlichen Anwendbarkeit völkerrechtlicher Vertragsbestimmungen, 1998, S. 110 ff.) regelt nicht nur die Sprachenfrage, sondern statuiert auch die Möglichkeit eines direkten postalischen Verkehrs ( BGE 96 V 140 ).</w:t>
      </w:r>
    </w:p>
    <w:p>
      <w:r>
        <w:rPr>
          <w:b/>
        </w:rPr>
        <w:t>E. 2.2</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w:t>
      </w:r>
    </w:p>
    <w:p>
      <w:r>
        <w:rPr>
          <w:b/>
        </w:rPr>
        <w:t>E. 2.2.1</w:t>
      </w:r>
    </w:p>
    <w:p>
      <w:r>
        <w:t>Gemäss Art. 20 FZA werden - von hier nicht interessierenden Ausnahmen abgesehen - die bilateralen Abkommen über die soziale Sicherheit zwischen der Schweiz und den Mitgliedstaaten der Europäischen Gemeinschaft mit Inkrafttreten des FZA insoweit ausgesetzt, als im FZA derselbe Sachbereich geregelt wird.</w:t>
      </w:r>
    </w:p>
    <w:p>
      <w:r>
        <w:rPr>
          <w:b/>
        </w:rPr>
        <w:t>E. 2.2.2</w:t>
      </w:r>
    </w:p>
    <w:p>
      <w:r>
        <w:t>Nach Art. 1 Abs. 1 des auf der Grundlage von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Nr. 1408/71 über die Anwendung der Systeme der sozialen Sicherheit auf Arbeitnehmer und Selbstständige sowie deren Familienangehörige, die innerhalb der Gemeinschaft zu- und abwandern (SR 0.831.109.268.11; nachfolgend: Verordnung Nr. 574/72), oder gleichwertige Vorschriften an.</w:t>
      </w:r>
    </w:p>
    <w:p>
      <w:r>
        <w:rPr>
          <w:b/>
        </w:rPr>
        <w:t>E. 2.2.3</w:t>
      </w:r>
    </w:p>
    <w:p>
      <w:r>
        <w:t>Nach Art. 3 Abs. 3 der Verordnung Nr. 574/72 können Bescheide oder sonstige Schriftstücke eines Trägers eines Mitgliedstaats, die für eine im Gebiet eines anderen Mitgliedstaats wohnende oder sich dort aufhaltende Person bestimmt sind, dieser unmittelbar mittels Einschreiben mit Rückschein zugestellt werden. Gerichte sind jedoch keine Träger im Sinne der Koordinierungsverordnungen (SVR 2006 KV Nr. 6 S. 14, K 44/03 E. 2.5 mit Hinweis). Ebenso wenig fallen Gerichte unter den Begriff der Behörde im Sinne von Art. 84 Abs. 3 der Verordnung Nr. 1408/71 (Verfügung des Eidg. Versicherungsgerichts K 18/04 vom 18. Juli 2006 E. 2.1.2). Die Verordnungen Nr. 1408/71 und Nr. 574/72 enthalten demnach keine Vorschrift, die eine direkte postalische Zustellung gerichtlicher Schriftstücke an in einem anderem Mitgliedstaat wohnende Personen vorsieht (anderer Meinung: Laurent Merz, in: Basler Kommentar, Bundesgerichtsgesetz, 2008, N. 45 zu Art. 40 BGG ). Auch den übrigen Bestandteilen des FZA ist keine Bestimmung zu entnehmen, die der Schweiz eine direkte postalische Zustellung gerichtlicher Schriftstücke an eine im Ausland wohnende Person gestatten würde (zitierte Verfügung K 18/04 E. 2.1.3).</w:t>
      </w:r>
    </w:p>
    <w:p>
      <w:r>
        <w:rPr>
          <w:b/>
        </w:rPr>
        <w:t>E. 2.2.4</w:t>
      </w:r>
    </w:p>
    <w:p>
      <w:r>
        <w:t>Die Koordinationsverordnungen bezwecken, bestimmte Hindernisse sachlicher und verwaltungstechnischer Art zu beseitigen, welche die Arbeitnehmer davon abhalten könnten, zwischen den Mitgliedstaaten zu wechseln (Urteil des EuGH vom 18. Februar 1975 66/74, Alfonso Farrauto gegen Bau-Berufsgenossenschaft, Slg. 1975 S. 157, Randnr. 4). Eine direkte Zustellung von Gerichtsentscheiden per Post stellt eine Vereinfachung und Beschleunigung des üblichen Verfahrensablaufes dar. Im Hinblick auf die europäische Integration ist eine solche Handhabung den Förmlichkeiten grundsätzlich vorzuziehen, auf die herkömmlicherweise für die Zustellung von Entscheidungen im Ausland zurückgegriffen wird (zit. Urteil in der Rs. 66/74, ebd.). Es ist daher nicht davon auszugehen, dass der Verordnungsgeber durch das Nicht-Erwähnen einer direkten postalischen Zustellung durch Gerichte den Mitgliedstaaten verbieten wollte, eine solche zu dulden (vgl. auch Lothar Frank, Die Zustellung im Ausland, in: Sozialgerichtsbarkeit 4/1988 S. 142 ff., 146). Die Frage, ob Gerichte eine solche direkte postalische Zustellung vornehmen dürfen, ist vielmehr in den Koordinationsverordnungen weder positiv noch negativ geregelt.</w:t>
      </w:r>
    </w:p>
    <w:p>
      <w:r>
        <w:rPr>
          <w:b/>
        </w:rPr>
        <w:t>E. 2.2.5</w:t>
      </w:r>
    </w:p>
    <w:p>
      <w:r>
        <w:t>Ist die Frage der direkten postalischen Zustellung von Gerichtsentscheiden ein Sachgebiet, welches durch das FZA keine Regelung erfahren hat, so hindert Art. 20 FZA nicht, Art. 32 des Abkommens mit Deutschland weiter anzuwenden (so auch Jean-Maurice Frésard, in: Commentaire de la LTF, 2009, N. 20 zu Art. 49 BGG ; vgl. im Weiteren Alois Lustenberger/Raymond Spira, Das Verfahren in zwischenstaatlichen Fällen gemäss Abkommen, in: Erwin Murer [Hrsg.], Das Personenverkehrsabkommen mit der EU und seine Auswirkungen auf die soziale Sicherheit der Schweiz, 2001, S. 75 und 89).</w:t>
      </w:r>
    </w:p>
    <w:p>
      <w:r>
        <w:rPr>
          <w:b/>
        </w:rPr>
        <w:t>E. 2.3</w:t>
      </w:r>
    </w:p>
    <w:p>
      <w:r>
        <w:t>Demnach war die direkte Zustellung des Entscheides gestützt auf Art. 32 des Abkommens mit Deutschland zulässig.</w:t>
      </w:r>
    </w:p>
    <w:p>
      <w:r>
        <w:rPr>
          <w:b/>
        </w:rPr>
        <w:t>E. 3</w:t>
      </w:r>
    </w:p>
    <w:p>
      <w:r>
        <w:t>Gemäss der Bestätigung auf dem Rückschein erfolgte die postalische Zustellung am 14. Mai 2008. Die dreissigtägige Beschwerdefrist lief somit bis zum 13. Juni 2008. Die am 16. Juni 2008 erfolgte Übergabe der Beschwerdeschrift an das Schweizerische Generalkonsulat erfolgte demnach verspätet. Der Beschwerdeführer macht geltend, sein Vertreter habe zum 31. August 2008 (recte wohl 31. August 2007) die bisherige Anwaltskanzlei verlassen und deshalb erst am 16. Mai 2008 Kenntnis vom vorinstanzlichen Entscheid erhalten. Da er jedoch diesen Kanzleiwechsel dem kantonalen Gericht nicht mitgeteilt hat, wurde die Beschwerdefrist bereits mit der Zustellung in der ehemaligen Anwaltskanzlei - welche die Postsendung entgegengenommen hat - ausgelöst. Die Beschwerde erfolgte demnach verspätet; es ist auf sie nicht einzutreten.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