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8C_507/2019 vom 21. August 2019</w:t>
      </w:r>
    </w:p>
    <w:p>
      <w:r>
        <w:t>Bundesgericht, 2019-08-21, DE</w:t>
      </w:r>
    </w:p>
    <w:p>
      <w:r>
        <w:rPr>
          <w:b/>
        </w:rPr>
        <w:t xml:space="preserve">Quelle: </w:t>
      </w:r>
      <w:r>
        <w:t>https://mcp.opencaselaw.ch/entscheid/bger_8C_507_2019</w:t>
      </w:r>
    </w:p>
    <w:p>
      <w:r>
        <w:t>FR: TF 8C_507/2019 du 21 août 2019</w:t>
      </w:r>
    </w:p>
    <w:p>
      <w:r>
        <w:t>IT: TF 8C_507/2019 del 21 agosto 2019</w:t>
      </w:r>
    </w:p>
    <w:p>
      <w:pPr>
        <w:pStyle w:val="Heading2"/>
      </w:pPr>
      <w:r>
        <w:t>Volltext</w:t>
      </w:r>
    </w:p>
    <w:p>
      <w:r>
        <w:t>Bundesgericht</w:t>
      </w:r>
    </w:p>
    <w:p>
      <w:r>
        <w:t>Tribunal fédéral</w:t>
      </w:r>
    </w:p>
    <w:p>
      <w:r>
        <w:t>Tribunale federale</w:t>
      </w:r>
    </w:p>
    <w:p>
      <w:r>
        <w:t>Tribunal federal</w:t>
      </w:r>
    </w:p>
    <w:p>
      <w:r>
        <w:t>8C_507/2019</w:t>
      </w:r>
    </w:p>
    <w:p>
      <w:r>
        <w:t>Urteil vom 21. August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Dietikon, vertreten durch die Sozialbehörde, Neumattstrasse 7, 8953 Dietikon,</w:t>
      </w:r>
    </w:p>
    <w:p>
      <w:r>
        <w:t>Beschwerdegegnerin.</w:t>
      </w:r>
    </w:p>
    <w:p>
      <w:r>
        <w:t>Gegenstand</w:t>
      </w:r>
    </w:p>
    <w:p>
      <w:r>
        <w:t>Sozialhilfe (Prozessvoraussetzung),</w:t>
      </w:r>
    </w:p>
    <w:p>
      <w:r>
        <w:t>Beschwerde gegen den Entscheid des Verwaltungsgerichts des Kantons Zürich vom 23. Mai 2019 (VB.2018.00764).</w:t>
      </w:r>
    </w:p>
    <w:p>
      <w:r>
        <w:t>Nach Einsicht</w:t>
      </w:r>
    </w:p>
    <w:p>
      <w:r>
        <w:t>in die Beschwerde vom 15. August 2019 gegen den Entscheid des Verwaltungsgerichts des Kantons Zürich vom 23. Mai 2019,</w:t>
      </w:r>
    </w:p>
    <w:p>
      <w:r>
        <w:t>in Erwägung,</w:t>
      </w:r>
    </w:p>
    <w:p>
      <w:r>
        <w:t>dass das Verwaltungsgericht im angefochtenen Entscheid die Rückerstattungsforderung der Stadt Dietikon über den Betrag von Fr. 119'801.50 und die damit einhergehende Kürzung des monatlichen Grundbedarfs auf wirtschaftliche Hilfe um 30 % mit der Präzisierung bestätigte, dass die Kürzung vorläufig auf sechs Monate zu befristen sei,</w:t>
      </w:r>
    </w:p>
    <w:p>
      <w:r>
        <w:t>dass dabei kantonales Recht zur Anwendung gelangte,</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der Beschwerdeführer nichts Derartiges vorbringt,</w:t>
      </w:r>
    </w:p>
    <w:p>
      <w:r>
        <w:t>dass insbesondere soweit er die verwaltungsgerichtliche Praxis kritisiert, wonach im Rückerstattungsverfahren von unrechtmässig bezogener wirtschaftlicher Hilfe ein allfälliges Strafverfahren nicht abgewartet werden muss, bevor eine Rückerstattungsverfügung erlassen werden kann, er nicht darlegt, inwiefern diese gegen verfassungsmässige Rechte verstossen soll,</w:t>
      </w:r>
    </w:p>
    <w:p>
      <w:r>
        <w:t>dass auch soweit er die von der Vorinstanz zur Frage des unrechtmässigen Leistungsbezugs vorgenommene Beweiswürdigung als einseitig ausgefallen rügt, er nicht darlegt, inwiefern diese in concreto fernab jeglicher sachlicher Überlegung, sprich willkürlich, erfolgt sein soll,</w:t>
      </w:r>
    </w:p>
    <w:p>
      <w:r>
        <w:t>dass es überdies nicht ausreicht, bereits vor Vorinstanz Vorgetragenes zu wiederholen, ohne auf das dazu bereits Erwogene einzugehen und aufzuzeigen, inwiefern der kantonale Entscheid konkret gegen von der Verfassung geschützte Rechte verstossen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und dem Bezirksrat Dietikon schriftlich mitgeteilt.</w:t>
      </w:r>
    </w:p>
    <w:p>
      <w:r>
        <w:t>Luzern, 21. August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