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8C_507/2013 vom 2. Dezember 2013</w:t>
      </w:r>
    </w:p>
    <w:p>
      <w:r>
        <w:t>Bundesgericht, 2013-12-02, DE</w:t>
      </w:r>
    </w:p>
    <w:p>
      <w:r>
        <w:rPr>
          <w:b/>
        </w:rPr>
        <w:t xml:space="preserve">Quelle: </w:t>
      </w:r>
      <w:r>
        <w:t>https://mcp.opencaselaw.ch/entscheid/bger_8C_507_2013</w:t>
      </w:r>
    </w:p>
    <w:p>
      <w:r>
        <w:t>FR: TF 8C_507/2013 du 2 décembre 2013</w:t>
      </w:r>
    </w:p>
    <w:p>
      <w:r>
        <w:t>IT: TF 8C_507/2013 del 2 dicembre 2013</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Entscheide über die aufschiebende Wirkung sind Entscheide über vorsorgliche Massnahmen nach Art. 98 BGG (SVR 2012 IV Nr. 40 S. 151 E. 4.1 mit Hinweisen, 9C_652/2011). Somit kann diesbezüglich nur die Verletzung verfassungsmässiger Rechte gerügt werden ( Art. 98 BGG ).</w:t>
      </w:r>
    </w:p>
    <w:p>
      <w:r>
        <w:rPr>
          <w:b/>
        </w:rPr>
        <w:t>E. 1.2</w:t>
      </w:r>
    </w:p>
    <w:p>
      <w:r>
        <w:t>Die Vorinstanz hat entgegen der Verfügung der IV-Stelle als vorsorglichen Massnahme die Weiterausrichtung der bisherigen Rente während des Abklärungsverfahrens angeordnet. Die IV-Stelle macht vor Bundesgericht eine Verletzung der Begründungspflicht nach Art. 29 Abs. 2 BV und damit einen zulässigen Beschwerdegrund nach Art. 98 BGG geltend (vgl. Urteil 8C_983/2012 vom 8. Mai 2013 E. 2). Da auch die übrigen Eintretensvoraussetzungen, einschliesslich des nicht wieder gutzumachenden Nachteils (vgl. dazu BGE 133 V 477 E. 5.2 S. 483), erfüllt sind, ist auf die Beschwerde einzutreten.</w:t>
      </w:r>
    </w:p>
    <w:p>
      <w:r>
        <w:rPr>
          <w:b/>
        </w:rPr>
        <w:t>E. 2</w:t>
      </w:r>
    </w:p>
    <w:p>
      <w:r>
        <w:t>Streitgegenstand des angefochtenen Entscheids ist einzig die Wiederherstellung der aufschiebenden Wirkung im Rahmen eines laufenden Rentenrevisionsverfahrens resp. eines Verfahrens zur Überprüfung der Rente gemäss den Übergangsbestimmungen der IV-Revision 6a.</w:t>
      </w:r>
    </w:p>
    <w:p>
      <w:r>
        <w:t>Mit Urteil 8C_983/2012 vom 8. Mai 2013 hat das Bundesgericht die vorinstanzliche Anweisung, die IV-Stelle habe der Versicherten während des Abklärungsverfahrens die bisherige Rente auszurichten, aufgehoben, da das kantonale Gericht diesbezüglich jegliche Begründung vermissen liess. Namentlich fanden sich im Entscheid vom 16. Oktober 2012 weder theoretische Ausführungen über die Voraussetzungen der Wiederherstellung der aufschiebenden Wirkung noch wurde begründet, inwiefern diese Voraussetzungen ausnahmsweise gegeben seien. Damit verletzte es nicht nur die Begründungspflicht nach Art. 29 Abs. 2 BV , sondern handelte auch willkürlich im Sinne von Art. 9 BV . Weiter erinnerte das Bundesgericht an die konstante Rechtsprechung, wonach der Entzug der aufschiebenden Wirkung auch bei einer Rückweisung an die Verwaltung zu weiteren Abklärungen andauert; vorbehalten ist einzig die rechtsmissbräuchliche Provozierung eines möglichst frühen Revisionszeitpunktes durch die Verwaltung ( BGE 129 V 370 ; SVR 2011 IV Nr. 33 S. 96, 8C_451/2010).</w:t>
      </w:r>
    </w:p>
    <w:p>
      <w:r>
        <w:rPr>
          <w:b/>
        </w:rPr>
        <w:t>E. 3</w:t>
      </w:r>
    </w:p>
    <w:p>
      <w:r>
        <w:t>Das kantonale Gericht begründet die Weiterausrichtung der bisherigen Rente damit,</w:t>
      </w:r>
    </w:p>
    <w:p>
      <w:r>
        <w:t>"dass die Beschwerdegegnerin in Verkennung dieser Rechtslage einzig gestützt auf einen Bericht der Hausärztin und eine Aktenbeurteilung der RAD-Ärztin, welche nicht Fachärztin der Psychiatrie ist, eine psychiatrische Beurteilung vornahm und eine dauerhafte Arbeitsunfähigkeit verneinte (vgl. Urk. 2/9 E. 3.2),</w:t>
      </w:r>
    </w:p>
    <w:p>
      <w:r>
        <w:t>dass sie zudem den angekündigten Bericht der Klinik Y.________ (vgl. Urk. 2/8/60/2) über den dortigen Aufenthalt der Beschwerdeführerin vom 4. April bis 1. Juni 2012 (Urk. 2/3/6) nicht abwartete, sondern bereits am 12. Juni 2012 verfügte (Urk. 2/2),</w:t>
      </w:r>
    </w:p>
    <w:p>
      <w:r>
        <w:t>dass die Beschwerdegegnerin mit dem gesamten Vorgehen in diesem Fall der ihr obliegenden Pflicht zur Abklärung des aktuellen Sachverhalts bewusst nicht nachgekommen ist und zudem mit der Nichtbeachtung des umfassenden Austrittsberichts der Klinik Y.________ das rechtliche Gehör der Beschwerdeführerin verletzt hat,</w:t>
      </w:r>
    </w:p>
    <w:p>
      <w:r>
        <w:t>dass die Versäumnisse der Beschwerdegegnerin so schwer wiegen, dass es sich rechtfertigt, die aufschiebende Wirkung der Beschwerde ausnahmsweise aufzuheben und die Beschwerdegegnerin zu verpflichten, die bisherige Rente weiter auszurichten, bis eine gesetzeskonforme fachmedizinische Abklärung vorliegt".</w:t>
      </w:r>
    </w:p>
    <w:p>
      <w:r>
        <w:t>Das kantonale Gericht hält der IV-Stelle somit vor, sie sei mit ihrem Vorgehen ihren Abklärungspflichten bewusst nicht nachgekommen und habe durch die Nichtbeachtung bzw. das Nichtabwarten des Austrittsberichts der Klinik Y.________ das rechtliche Gehör der Versicherten verletzt. Darin ist nicht eine blosse Verkennung der Rechtslage (vgl. dazu die noch nicht publizierten Grundsatzurteile 8C_972/2012 vom 31. Oktober 2013 und 8C_324/2013 vom 29. August 2013, welche die Kantone Schwyz und Luzern betrafen), sondern eine bewusste und daher missbräuchliche Provozierung eines möglichst frühen Revisionszeitpunktes durch die Verwaltung zu erblicken. Die vorinstanzlichen Ausführungen vermögen den für die Wiederherstellung der aufschiebenden Wirkung notwendigen Rechtsmissbrauch ( BGE 129 V 370 E. 3.2 S. 372; SVR 2010 IV Nr. 33 S. 96 E. 2 und 4.4, 8C_451/2010) daher - wenn auch nur knapp - zu begründen, weshalb keine Verletzung verfassungsmässiger Rechte vorliegt. Da den Ausführungen der Vorinstanz auch entnommen werden kann, weshalb es sich um schwere Versäumnisse (Verletzung der Abklärungspflicht und des rechtlichen Gehörs) handelte, verstösst der Entscheid ebenso wenig gegen das Willkürverbot.</w:t>
      </w:r>
    </w:p>
    <w:p>
      <w:r>
        <w:rPr>
          <w:b/>
        </w:rPr>
        <w:t>E. 4</w:t>
      </w:r>
    </w:p>
    <w:p>
      <w:r>
        <w:t>Das Verfahren ist kostenpflichtig. Die unterliegende IV-Stelle hat die Gerichtskosten zu tragen ( Art. 66 Abs. 1 BGG ). Der Versicherten steht keine Parteientschädigung zu, da ihr mangels Durchführung eines Schriftenwechsels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