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8C_507/2007 vom 5. Juni 2008</w:t>
      </w:r>
    </w:p>
    <w:p>
      <w:r>
        <w:t>Bundesgericht, 2008-06-05, DE</w:t>
      </w:r>
    </w:p>
    <w:p>
      <w:r>
        <w:rPr>
          <w:b/>
        </w:rPr>
        <w:t xml:space="preserve">Quelle: </w:t>
      </w:r>
      <w:r>
        <w:t>https://mcp.opencaselaw.ch/entscheid/bger_8C_507_2007</w:t>
      </w:r>
    </w:p>
    <w:p>
      <w:r>
        <w:t>FR: TF 8C_507/2007 du 5 juin 2008</w:t>
      </w:r>
    </w:p>
    <w:p>
      <w:r>
        <w:t>IT: TF 8C_507/2007 del 5 giugno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Art. 84 Abs. 2 UVG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und keinen Anspruch auf andere Versicherungsleistungen haben. Von dieser Befugnis hat der Bundesrat in den Artikeln 83 ff. der Verordnung über die Verhütung von Unfällen und Berufskrankheiten (VUV) Gebrauch gemacht. Art. 86 VUV bestimmt unter anderem, dass der Arbeitnehmer, der von einer Arbeit dauernd ausgeschlossen worden ist, vom Versicherer eine Übergangsentschädigung erhält, wenn er durch die Verfügung trotz persönlicher Beratung, trotz Bezuges von Übergangstaggeld und trotz des ihm zumutbaren Einsatzes, den ökonomischen Nachteil auf dem Arbeitsmarkt wettzumachen, in seinem wirtschaftlich Fortkommen erheblich beeinträchtigt bleibt (Abs. 1 lit. a VUV). Weiter sind für den Anspruch auf eine Übergangsentschädigung vorausgesetzt, dass ein Versicherter im Zeitraum von zwei Jahren unmittelbar vor Erlass der NEV mindestens 300 Tage lang die gefährdende Arbeit tatsächlich ausgeübt hatte (lit. b) und, dass innert zweier Jahre nach Rechtskraft der NEV ein entsprechendes Gesuch gestellt wird (lit. c).</w:t>
      </w:r>
    </w:p>
    <w:p>
      <w:r>
        <w:rPr>
          <w:b/>
        </w:rPr>
        <w:t>E. 3</w:t>
      </w:r>
    </w:p>
    <w:p>
      <w:r>
        <w:t>Es ist unbestritten und überdies aktenmässig belegt, dass die Anspruchsvoraussetzungen gemäss Art. 86 Abs. 1 lit. b und c VUV erfüllt sind. Hingegen stellen sich die Unfallversicherung und das kantonale Gericht auf den Standpunkt, die Beschwerdeführerin sei wegen der NEV und dem damit verbundenen Verlust ihres langjährigen Arbeitsplatzes im Alterszentrum S.________ nicht erheblich in ihrem wirtschaftlichen Fortkommen beeinträchtigt. Im angefochtenen Entscheid wird dies mit den Worten begründet, es sei nicht belegt, dass sie aufgrund der Einschränkung in der Arbeitsfähigkeit - im Bereich von Nassarbeiten - keine Arbeit auf dem ausgeglichenen Arbeitsmarkt mehr finden könne. Es gäbe Stellen, die ihrem Profil entsprächen.</w:t>
      </w:r>
    </w:p>
    <w:p>
      <w:r>
        <w:rPr>
          <w:b/>
        </w:rPr>
        <w:t>E. 4.1</w:t>
      </w:r>
    </w:p>
    <w:p>
      <w:r>
        <w:t>Mit ihrer Argumentation erweckt die Vorinstanz den Eindruck, die erhebliche Beeinträchtigung im wirtschaftlichen Fortkommen entspreche einer Erwerbsunfähigkeit im Sinne von Art. 7 ATSG . Das ist hingegen nicht die Intention des Art. 86 VUV . Die Übergangsentschädigung ist Bestandteil einer Massnahme zur Verhütung von Berufskrankheiten. Eine Person, die eine Erwerbsunfähigkeit erhält, muss in der Regel ihre Arbeitsstelle sofort verlassen. Die Übergangsentschädigung soll einen gewissen Ausgleich für die durch das Verbot erlittenen Nachteile schaffen, etwa weil der Betroffene nunmehr schlechter entlöhnte Arbeit oder eine Zeitlang gar keine findet (Maurer, Schweizerisches Unfallversicherungsrecht, S. 589 und S. 594 Fn 1517a). Das Eidgenössische Versicherungsgericht hatte in EVGE 1967 S. 206 f. festgehalten, mit der Übergangsentschädigung solle einem Versicherten der Wechsel von der ihn gefährdenden Arbeit auf eine neue geeignete Tätigkeit und die Erlangung der für die Wiedereingliederung erforderlichen Fertigkeiten erleichtert werden. Damit nähert sich diese Versicherungsleistung der Unfallversicherung derjenigen der Arbeitslosenversicherung an (vgl. Jean-Maurice Frésard/Margit Moser-Szeless in Schweizerisches Bundesverwaltungsrecht, Soziale Sicherheit, 2. Auflage Rz. 589 S. 1001). Vorausgesetzt, die hier nicht umstrittenen Kriterien gemäss Art. 86 Abs. 1 lit. b und c VUV sind erfüllt, besteht ein Leistungsanspruch, wenn eine Arbeitsstelle wegen der Erwerbsunfähigkeit gekündigt wurde (Frésard/Moser-Szeless, a.a.O. Rz. 584, S. 1000) und ein Versicherter trotz zumutbaren Arbeitsbemühungen (was eine Anspruchsvoraussetzung ist, vgl. RKUV Nr. U 461 S. 420 E. 4a) keine oder keine in gleicher Höhe bezahlte neue Stelle gefunden hat (RKUV 1994 U 205 S. 320 E. 4a S. 324; Frésard/Moser-Szeless, a.a.O. Fn 802 S. 1000). Diese Interpretation ergibt sich sodann auch aus dem Umstand, dass ein Versicherter, der wegen eines Unfalles oder einer Berufskrankheit Anspruch auf eine Invalidenrente der Unfallversicherung hat darüber hinaus, für den Teil, in dem er noch erwerbsfähig ist, Anspruch auf eine Übergangsentschädigung haben kann ( BGE 120 V 134 E. 4 c/bb S. 138 ff.). Auch das von der Zürich in ihrer Vernehmlassung zur Beschwerde vorgebrachte Argument, die Beschwerdeführerin sei durch die NEV zumindest nicht "erheblich" in ihrem wirtschaftlichen Fortkommen beeinträchtigt, kann zu keinem anderen Resultat führen. Die Tatsache, dass sie - genügend Arbeitsbemühungen vorausgesetzt - nach einer langjährigen Erwerbstätigkeit, die sie ausschliesslich wegen der NEV verloren hat, keine ihren Fähigkeiten und gesundheitlichen Voraussetzungen angepasste neue Stelle findet, stellt sehr wohl eine erhebliche wirtschaftliche Beeinträchtigung dar.</w:t>
      </w:r>
    </w:p>
    <w:p>
      <w:r>
        <w:rPr>
          <w:b/>
        </w:rPr>
        <w:t>E. 4.2</w:t>
      </w:r>
    </w:p>
    <w:p>
      <w:r>
        <w:t>Zusammenfassend hat das kantonale Gericht Sinn und Zweck der Übergangsentschädigung und eine der Anspruchsvoraussetzungen des Art. 86 VUV fehlinterpretiert. Falls die Beschwerdeführerin genügend zumutbare Arbeitsbemühungen vorzuweisen vermag, - was die Unfallversicherung zu prüfen haben wird -, hat sie Anspruch auf eine Übergangsentschädigung. Über die Höhe und die Dauer der Leistungen - gegebenenfalls unter Berücksichtigung einer Überentschädigung wegen gleichzeitigem Bezug von Leistungen der Arbeitslosenversicherung ( Art. 69 ATSG ) - wird die Zürich erneut zu verfügen haben.</w:t>
      </w:r>
    </w:p>
    <w:p>
      <w:r>
        <w:rPr>
          <w:b/>
        </w:rPr>
        <w:t>E. 5</w:t>
      </w:r>
    </w:p>
    <w:p>
      <w:r>
        <w:t>Im Weiteren stellt die Beschwerdeführerin den Antrag, die Zürich sei zu verpflichten, ihr auf den nachzuzahlenden Leistungen Verzugszins auszurichten. Dieses erst vor Bundesgericht erhobene Rechtsbegehren ist neu, da weder in der Einsprache vom 18. Mai 2006 noch in der kantonalen Verwaltungsgerichtsbeschwerde vom 23. November 2006 ein entsprechendes Ersuchen gestellt worden war. Es liegt damit eine Ausweitung des Streitgegenstandes vor, die gemäss Art. 99 Abs. 2 BGG unzulässig ist, weshalb auf das Verzugszinsbegehren nicht eingetreten werden kann.</w:t>
      </w:r>
    </w:p>
    <w:p>
      <w:r>
        <w:rPr>
          <w:b/>
        </w:rPr>
        <w:t>E. 6</w:t>
      </w:r>
    </w:p>
    <w:p>
      <w:r>
        <w:t>Ausgangsgemäss hat die Beschwerdegegnerin die Gerichtskosten (Art. 66 Abs. 1 in Verbindung mit Art. 68 Abs. 1 BGG ) zu tragen und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