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8C_506/2019 vom 21. August 2019</w:t>
      </w:r>
    </w:p>
    <w:p>
      <w:r>
        <w:t>Bundesgericht, 2019-08-21, DE</w:t>
      </w:r>
    </w:p>
    <w:p>
      <w:r>
        <w:rPr>
          <w:b/>
        </w:rPr>
        <w:t xml:space="preserve">Quelle: </w:t>
      </w:r>
      <w:r>
        <w:t>https://mcp.opencaselaw.ch/entscheid/bger_8C_506_2019</w:t>
      </w:r>
    </w:p>
    <w:p>
      <w:r>
        <w:t>FR: TF 8C_506/2019 du 21 août 2019</w:t>
      </w:r>
    </w:p>
    <w:p>
      <w:r>
        <w:t>IT: TF 8C_506/2019 del 21 agosto 2019</w:t>
      </w:r>
    </w:p>
    <w:p>
      <w:pPr>
        <w:pStyle w:val="Heading2"/>
      </w:pPr>
      <w:r>
        <w:t>Volltext</w:t>
      </w:r>
    </w:p>
    <w:p>
      <w:r>
        <w:t>Bundesgericht</w:t>
      </w:r>
    </w:p>
    <w:p>
      <w:r>
        <w:t>Tribunal fédéral</w:t>
      </w:r>
    </w:p>
    <w:p>
      <w:r>
        <w:t>Tribunale federale</w:t>
      </w:r>
    </w:p>
    <w:p>
      <w:r>
        <w:t>Tribunal federal</w:t>
      </w:r>
    </w:p>
    <w:p>
      <w:r>
        <w:t>8C_506/2019</w:t>
      </w:r>
    </w:p>
    <w:p>
      <w:r>
        <w:t>Urteil vom 21. August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(AWA) des Kantons Aargau, Rain 53, 5000 Aarau,</w:t>
      </w:r>
    </w:p>
    <w:p>
      <w:r>
        <w:t>Beschwerdegegner.</w:t>
      </w:r>
    </w:p>
    <w:p>
      <w:r>
        <w:t>Gegenstand</w:t>
      </w:r>
    </w:p>
    <w:p>
      <w:r>
        <w:t>Arbeitslosenversicherung (Prozessvoraussetzung),</w:t>
      </w:r>
    </w:p>
    <w:p>
      <w:r>
        <w:t>Beschwerde gegen den Entscheid des Versicherungsgerichts des Kantons Aargau vom 29. Mai 2019 (VBE.2018.878).</w:t>
      </w:r>
    </w:p>
    <w:p>
      <w:r>
        <w:t>Nach Einsicht</w:t>
      </w:r>
    </w:p>
    <w:p>
      <w:r>
        <w:t>in die Beschwerde vom 13. August 2019 (Poststempel) gegen den Entscheid des Versicherungsgerichts des Kantons Aargau vom 29. Mai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in einem ersten Schritt in tatsächlicher Hinsicht festhielt, der Beschwerdeführer habe die mit dem Regionalen Arbeitsvermittlungszentrum (RAV) vorgängig vereinbarte Anzahl von zehn bis zwölf Arbeitsbemühungen monatlich mit deren neun im September nicht erreicht,</w:t>
      </w:r>
    </w:p>
    <w:p>
      <w:r>
        <w:t>dass sie weiter davon ausging, der Versicherte habe im Beschwerdeverfahren keine konkreten Gründe genannt, weshalb es ihm nicht möglich gewesen sei, sich auf die vereinbarte Anzahl von Stellen zu bewerben,</w:t>
      </w:r>
    </w:p>
    <w:p>
      <w:r>
        <w:t>dass sie gestützt darauf die von der Verwaltung in Nachachtung von Art. 30 Abs. 1 lit. c AVIG vorgenommene Einstellung des Beschwerdeführers für die Dauer von drei Tagen in der Anspruchsberechtigung auf Arbeitslosentaggelder bestätigte,</w:t>
      </w:r>
    </w:p>
    <w:p>
      <w:r>
        <w:t>dass der Beschwerdeführer darauf nicht näher eingeht,</w:t>
      </w:r>
    </w:p>
    <w:p>
      <w:r>
        <w:t>dass er statt dessen ausserhalb davon Liegendes thematisiert, indem er etwa eine vorgängige Aufklärungspflicht von Seiten der Verwaltung über die bundesgerichtliche Rechtsprechung zu diesem Thema fordert, ohne zugleich dazulegen, inwiefern er daraus etwas zu seinen Gunsten ableiten will, nachdem das gemäss vorinstanzlicher Feststellung zwischen ihm und dem RAV Vereinbarte eben dieser Rechtsprechung entspricht,</w:t>
      </w:r>
    </w:p>
    <w:p>
      <w:r>
        <w:t>dass er darüber hinaus nicht näher ausführt, inwiefern die oben wiedergegebenen vorinstanzlichen Tatsachenfeststellungen offensichtlich unrichtig im Sinne von Art. 97 Abs. 1 BGG und die darauf beruhenden Erwägungen rechtsfehlerhaft sein sollen; die Verwaltung pauschal der Manipulation von Protokollen zu bezichtigen, reicht nicht aus,</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Staatssekretariat für Wirtschaft (SECO) schriftlich mitgeteilt.</w:t>
      </w:r>
    </w:p>
    <w:p>
      <w:r>
        <w:t>Luzern, 21. August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