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8C_502/2015 vom 26. Oktober 2015</w:t>
      </w:r>
    </w:p>
    <w:p>
      <w:r>
        <w:t>Bundesgericht, 2015-10-26, DE</w:t>
      </w:r>
    </w:p>
    <w:p>
      <w:r>
        <w:rPr>
          <w:b/>
        </w:rPr>
        <w:t xml:space="preserve">Quelle: </w:t>
      </w:r>
      <w:r>
        <w:t>https://mcp.opencaselaw.ch/entscheid/bger_8C_502_2015</w:t>
      </w:r>
    </w:p>
    <w:p>
      <w:r>
        <w:t>FR: TF 8C_502/2015 du 26 octobre 2015</w:t>
      </w:r>
    </w:p>
    <w:p>
      <w:r>
        <w:t>IT: TF 8C_502/2015 del 26 ottobre 2015</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w:t>
      </w:r>
    </w:p>
    <w:p>
      <w:r>
        <w:t>Die Parteien sind sich darin einig, dass die das von Amtes wegen eingeleitete Rentenrevisionsverfahren abschliessende Mitteilung vom 4. Mai 2012 hinsichtlich der Bestimmung des Invaliditätsgrades ( Art. 16 ATSG ) auf einer zweifellos unrichtigen Annahme desjenigen Erwerbseinkommens beruhte, das die Versicherte hätte erzielen können, wenn sie nicht invalid geworden wäre (Valideneinkommen). Daher durfte die IV-Stelle auf die genannte Revisionsmitteilung zurückkommen (vgl. Art. 53 Abs. 2 ATSG ) und den Rentenanspruch ex nunc et pro futuro (vgl. Art. 88bis Abs. 2 lit. a IVV ) ohne Bindung an frühere Invaliditätsschätzungen neu beurteilen ( BGE 141 V 9 vgl.1 S. 7 zuunterst f.).</w:t>
      </w:r>
    </w:p>
    <w:p>
      <w:r>
        <w:rPr>
          <w:b/>
        </w:rPr>
        <w:t>E. 3.1.1</w:t>
      </w:r>
    </w:p>
    <w:p>
      <w:r>
        <w:t>Prozessthema bildet die Frage, ob sich die Beschwerdeführerin auch ohne die invalidisierenden gesundheitlichen Folgen des Unfalles vom 30. August 1999 (komplette Paraplegie sub Th10) beruflich in gleicher Weise weiterentwickelt hätte.</w:t>
      </w:r>
    </w:p>
    <w:p>
      <w:r>
        <w:rPr>
          <w:b/>
        </w:rPr>
        <w:t>E. 3.1.2</w:t>
      </w:r>
    </w:p>
    <w:p>
      <w:r>
        <w:t>Nach der Rechtsprechung ist bei der Ermittlung des Valideneinkommens entscheidend, was die versicherte Person im massgebenden Zeitpunkt aufgrund ihrer beruflichen Fähigkeiten und persönlichen Umstände nach dem Beweisgrad der überwiegenden Wahrscheinlichkeit verdient hätte. Da die Invaliditätsbemessung der voraussichtlich bleibenden oder längere Zeit dauernden Erwerbsunfähigkeit zu entsprechen hat (vgl. Art. 8 Abs. 1 ATSG ), ist auch die berufliche Weiterentwicklung zu berücksichtigen, die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Blosse Absichtserklärungen genügen nicht. Vielmehr muss die Absicht, beruflich weiterzukommen, bereits durch konkrete Schritte wie Kursbesuche, Aufnahme eines Studiums etc. kundgetan worden sein. Im Revisionsverfahren besteht insoweit ein Unterschied zur ursprünglichen Rentenfestsetzung, als der in der Zwischenzeit tatsächlich durchlaufene beruflich-erwerbliche Werdegang als invalide Person bekannt ist. Eine trotz Invalidität erlangte besondere berufliche Qualifizierung erlaubt allenfalls (weitere) Rückschlüsse auf die mutmassliche Entwicklung, zu der es ohne Eintritt des (unfallbedingten) Gesundheitsschadens bis zum Revisionszeitpunkt gekommen wäre ( BGE 139 V 28 E. 3.3.3.2 in fine S. 31 und 96 V 29; SVR 2010 UV Nr. 13 S. 51, 8C_550/2009 E. 4.2; Urteil 8C_90/2011 vom 8. August 2011 E. 5.3.2). Allerdings darf aus einer erfolgreichen Invalidenkarriere in einem neuen Tätigkeitsbereich nicht ohne Weiteres abgeleitet werden, die versicherte Person hätte ohne Invalidität eine vergleichbare Position auch im angestammten Tätigkeitsgebiet erreicht (RKUV 2005 Nr. U 554 S. 315, U 340/04; Urteil 9C_607/2012 vom 17. April 2013 E. 3 in fine mit Hinweisen).</w:t>
      </w:r>
    </w:p>
    <w:p>
      <w:r>
        <w:rPr>
          <w:b/>
        </w:rPr>
        <w:t>E. 3.2.1</w:t>
      </w:r>
    </w:p>
    <w:p>
      <w:r>
        <w:t>Es steht unbestritten fest, dass die Versicherte nach der obligatorischen Schulzeit eine dreijährige Lehre zur kaufmännischen Angestellten abschloss und danach während eines Jahres in den USA weilte, wo sie eine High School besuchte. Nach ihrer Rückkehr in die Schweiz arbeitete sie während drei Jahren als Direktionssekretärin bei einem Versicherungsunternehmen, machte einen dreimonatigen Sprachaufenthalt in Italien und arbeitete anschliessend ab Mai 1997 bei der D.________ AG (ab 1. September 2000: E.________ AG sowie F.________ AG), wobei sie sich berufsbegleitend zur Eidg. Dipl. Marketingplanerin (Abschluss im Frühling 1998) ausbildete. Gemäss dem von der IV-Stelle eingeholten Fragebogen für Arbeitgebende der F.________ AG vom 21. Januar 2003 wurde die Versicherte ab September 2000 bis zum letzten Arbeitstag am 31. August 2003 zu ca. drei Stunden pro Tag an drei bis fünf Tagen pro Woche als Projektleiterin für Marketing und Kommunikation eingesetzt. Im Herbst 2003 nahm sie an der Universität ein Studium in Medien- und Kommunikationswissenschaften auf, das sie erfolgreich abschloss. Ab 1. Dezember 2009 war sie teilzeitlich als wissenschaftliche Mitarbeiterin bei der C.________ AG beschäftigt (Fragebogen für Arbeitgebende vom 15. März 2013).</w:t>
      </w:r>
    </w:p>
    <w:p>
      <w:r>
        <w:rPr>
          <w:b/>
        </w:rPr>
        <w:t>E. 3.2.2</w:t>
      </w:r>
    </w:p>
    <w:p>
      <w:r>
        <w:t>Das kantonale Gericht hat erwogen, weder anlässlich des Gesprächs mit dem Inspektor des Schadenaussendienstes der Unfallversicherung (Bericht vom 24. November 1999) noch desjenigen mit dem Berufsberater der Invalidenversicherung (Bericht vom 17. August 2000) habe die Versicherte erwähnt, dass sie vor dem Unfall vom 30. August 1999 beabsichtigte, eine Ausbildung aufnehmen zu wollen, um künftig als Marketingleiterin erwerbstätig sein zu können. Das im Verwaltungsverfahren aufgelegte Schreiben eines ehemaligen Geschäftsleitungsmitgliedes der E.________ AG vom 5. Dezember 2012 sei wenig aussagekräftig, zumal dieses erst nach der Verfügung der Unfallversicherung vom 22. November 2012 verfasst worden sei, mit welcher die Invalidenrente reduziert wurde; im Übrigen handle es sich dabei um eine blosse Bestätigung der angeblich erklärten Absicht, eine Weiterbildung aufnehmen zu wollen. In Bezug auf das Schreiben der F.________ AG vom 29. Mai 2002 erübrige sich jeglicher Kommentar, da die darin festgehaltene Lohnentwicklung als Valide bereits in dem im unfallversicherungsrechtlichen Verfahren mit Urteil vom Dezember 2009 als nicht überwiegend wahrscheinlich betrachtet worden sei. Unter diesen Umständen könne aus der erfolgreichen Invalidenkarriere im neuen Tätigkeitsbereich nicht abgeleitet werden, die Versicherte hätte im angestammten Beruf ohne Invalidität eine vergleichbare Position erreicht. Insgesamt betrachtet müsse sich die Versicherte das revisionsweise neu festzusetzende und unbestrittene Invalideneinkommen anrechnen lassen, ohne dass deswegen zugleich der Validenlohn auf der Grundlage neuer Bemessungskriterien zu bestimmen sei.</w:t>
      </w:r>
    </w:p>
    <w:p>
      <w:r>
        <w:rPr>
          <w:b/>
        </w:rPr>
        <w:t>E. 3.2.3</w:t>
      </w:r>
    </w:p>
    <w:p>
      <w:r>
        <w:t>Nach der Rechtsprechung ist die Frage, welche hypothetischen Erwerbseinkommen in die Vergleichsrechnung nach Art. 16 ATSG einzusetzen sind, vom Bundesgericht frei, mithin ohne Bindung an die vorinstanzlichen Feststellungen zu prüfen. Dies gilt u.a. dann, wenn - wie vorliegend - streitig ist, ob das hypothetische Valideneinkommen gestützt auf das zuletzt vor dem invalidisierenden Unfall erzielte Salär oder aber aufgrund von statistischen Durchschnittswerten zu ermitteln ist (vgl. MEYER/REICHMUTH, Rechtsprechung des Bundesgerichts zum IVG, Zürich/Basel/Genf 2014, Art. 28a, Rz. 34, S. 322 mit Hinweisen).</w:t>
      </w:r>
    </w:p>
    <w:p>
      <w:r>
        <w:rPr>
          <w:b/>
        </w:rPr>
        <w:t>E. 3.2.4</w:t>
      </w:r>
    </w:p>
    <w:p>
      <w:r>
        <w:t>Der vorinstanzlichen Beweiswürdigung kann nicht ohne Weiteres gefolgt werden. Aus den Berichten des Schadenaussendienstes der Unfallversicherung vom 24. November 1999 und der Berufsberatung der IV-Stelle vom 17. August 2000 sowie den erwähnten Auskünften der F.________ AG vom 21. Januar 2003 ist entgegen den Schlussfolgerungen des kantonalen Gerichts zu schliessen, dass die Versicherte nach wie vor dem Unfall vom 30. August 1999 nicht nur als Eidg. Dipl. Marketingplanerin, sondern auch als Projektleiterin eingesetzt wurde. Dieser Umstand ist als deutliches Indiz dafür zu werten, dass die Versicherte, die im Übrigen vom Inspektor des Schadenaussendienstes der Unfallversicherung als sehr ehrgeizige junge Frau bezeichnet wurde, die teilweise ausgeübte Funktion als Marketingleiterin mit einer entsprechenden Ausbildung festigen wollte, um dadurch in der Lage zu sein, vom damaligen oder einem anderen Arbeitgeber künftig ein höheres Gehalt verlangen zu können. Anders kann die Aufnahme des im Herbst 2003 begonnen Studiums in Medien- und Kommunikationswissenschaften nicht betrachtet werden, zumal sich die Versicherte damit berufsspezifisch qualifizierte, welchen Aspekt die Vorinstanz verkannt hat. Denn Medienwissenschaftler übernehmen Aufgaben und Funktionen, in denen die Kommunikation, deren Grundlagen und Verbesserungsmöglichkeiten im Zentrum stehen: Kommunikation und Informationsaustausch unter Mitarbeitenden einer Firma oder Organisation, Kommunikation mit der breiten Öffentlichkeit, mit der Kundschaft usw. (vgl. http://www.berufsbera- tung.ch/dyn/6010.aspx?id_branch=285). Daher liegt es nahe, dass die Beschwerdeführerin von der C.________ AG im angestammten Tätigkeitsgebiet eingesetzt wird. Ob dem so ist, kann allerdings den Akten nicht entnommen werden, weshalb die Sache zur Klärung dieser Frage an die Verwaltung zurückzuweisen ist.</w:t>
      </w:r>
    </w:p>
    <w:p>
      <w:r>
        <w:rPr>
          <w:b/>
        </w:rPr>
        <w:t>E. 4.1</w:t>
      </w:r>
    </w:p>
    <w:p>
      <w:r>
        <w:t>Der IV-Stelle werden als unterliegender Partei die Gerichtskosten auferlegt ( Art. 66 Abs. 1 BGG ).</w:t>
      </w:r>
    </w:p>
    <w:p>
      <w:r>
        <w:rPr>
          <w:b/>
        </w:rPr>
        <w:t>E. 4.2</w:t>
      </w:r>
    </w:p>
    <w:p>
      <w:r>
        <w:t>Sie hat die Beschwerdeführerin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