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8C_501/2020 vom 16. September 2020</w:t>
      </w:r>
    </w:p>
    <w:p>
      <w:r>
        <w:t>Bundesgericht, 2020-09-16, DE</w:t>
      </w:r>
    </w:p>
    <w:p>
      <w:r>
        <w:rPr>
          <w:b/>
        </w:rPr>
        <w:t xml:space="preserve">Quelle: </w:t>
      </w:r>
      <w:r>
        <w:t>https://mcp.opencaselaw.ch/entscheid/bger_8C_501_2020</w:t>
      </w:r>
    </w:p>
    <w:p>
      <w:r>
        <w:t>FR: TF 8C_501/2020 du 16 septembre 2020</w:t>
      </w:r>
    </w:p>
    <w:p>
      <w:r>
        <w:t>IT: TF 8C_501/2020 del 16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8C_501/2020</w:t>
      </w:r>
    </w:p>
    <w:p>
      <w:r>
        <w:t>Urteil vom 16. September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Aargau</w:t>
      </w:r>
    </w:p>
    <w:p>
      <w:r>
        <w:t>vom 14. Juli 2020 (VBE.2020.119).</w:t>
      </w:r>
    </w:p>
    <w:p>
      <w:r>
        <w:t>Nach Einsicht</w:t>
      </w:r>
    </w:p>
    <w:p>
      <w:r>
        <w:t>in die Beschwerde vom 20. August 2020 (Poststempel) gegen den Nichteintretensentscheid des Versicherungsgerichts des Kantons Aargau vom 14. Juli 2020,</w:t>
      </w:r>
    </w:p>
    <w:p>
      <w:r>
        <w:t>in die Mitteilung des Bundesgerichts vom 24. August 2020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14. September 2020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Vorinstanz im angefochtenen Entscheid dargelegt hat, weshalb das vom Beschwerdeführer gegen die Verfügung der IV-Stelle vom 6. Februar 2020 Vorgetragene nicht zu hören ist,</w:t>
      </w:r>
    </w:p>
    <w:p>
      <w:r>
        <w:t>dass der Beschwerdeführer darauf nicht eingeht, statt dessen ausserhalb davon Liegendes zu thematisieren versucht,</w:t>
      </w:r>
    </w:p>
    <w:p>
      <w:r>
        <w:t>dass die Beschwerde dergestalt offensichtlich nicht sachbezogen begründet ist,</w:t>
      </w:r>
    </w:p>
    <w:p>
      <w:r>
        <w:t>dass deshalb darauf im vereinfachten Verfahren nach Art. 108 Abs. 1 lit. b BGG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Aargau, dem Bundesamt für Sozialversicherungen und der BVG-Sammelstiftung Swiss Life, Zürich, schriftlich mitgeteilt.</w:t>
      </w:r>
    </w:p>
    <w:p>
      <w:r>
        <w:t>Luzern, 16. September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