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8C_500/2010 vom 5. Januar 2011</w:t>
      </w:r>
    </w:p>
    <w:p>
      <w:r>
        <w:t>Bundesgericht, 2011-01-05, DE</w:t>
      </w:r>
    </w:p>
    <w:p>
      <w:r>
        <w:rPr>
          <w:b/>
        </w:rPr>
        <w:t xml:space="preserve">Quelle: </w:t>
      </w:r>
      <w:r>
        <w:t>https://mcp.opencaselaw.ch/entscheid/bger_8C_500_2010</w:t>
      </w:r>
    </w:p>
    <w:p>
      <w:r>
        <w:t>FR: TF 8C_500/2010 du 5 janvier 2011</w:t>
      </w:r>
    </w:p>
    <w:p>
      <w:r>
        <w:t>IT: TF 8C_500/2010 del 5 gennaio 2011</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Die Vorinstanz hat die Bestimmungen und Grundsätze über das zeitlich massgebende Recht ( BGE 130 V 445 ), den Begriff der Invalidität ( Art. 8 Abs. 1 ATSG in Verbindung mit Art. 4 Abs. 1 IVG ), der Erwerbsunfähigkeit ( Art. 7 ATSG ) und der Arbeitsunfähigkeit ( Art. 6 ATSG ) sowie den Anspruch auf eine Invalidenrente ( Art. 28 IVG ) und die Ermittlung des Invaliditätsgrades nach der allgemeinen Methode des Einkommensvergleichs ( Art. 16 ATSG ; BGE 128 V 29 E. 1 S. 30 mit Hinweisen), insbesondere auch den Begriff des ausgeglichenen Arbeitsmarktes ( BGE 110 V 273 E. 4b S. 276; AHI 1998 S. 287), zutreffend dargelegt. Dasselbe gilt für den Beweisgrad der überwiegenden Wahrscheinlichkeit ( BGE 126 V 353 E. 5b S. 360 mit Hinweisen), die Anforderungen an einen ärztlichen Bericht und dessen Beweiswert ( BGE 134 V 231 E. 5.1 S. 232 mit Hinweis) sowie die Darlegungen über die Anforderungen an einen Abklärungsbericht ( BGE 128 V 93 ; Urteil I 557/06 vom 19. Juli 2007 E. 3.2.1). Darauf wird verwiesen.</w:t>
      </w:r>
    </w:p>
    <w:p>
      <w:r>
        <w:rPr>
          <w:b/>
        </w:rPr>
        <w:t>E. 3</w:t>
      </w:r>
    </w:p>
    <w:p>
      <w:r>
        <w:t>Der Beschwerdeführer rügt eine unvollständige Feststellung des Sachverhalts und eine unzutreffende Beweiswürdigung sowie eine falsche Einschätzung der zumutbaren Arbeits- und Erwerbsfähigkeit infolge Abstützung auf ein offensichtlich unzulängliches Gutachten.</w:t>
      </w:r>
    </w:p>
    <w:p>
      <w:r>
        <w:rPr>
          <w:b/>
        </w:rPr>
        <w:t>E. 4.1</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8C_652/2010 vom 22. September 2010 E. 3.1 mit Hinweisen).</w:t>
      </w:r>
    </w:p>
    <w:p>
      <w:r>
        <w:rPr>
          <w:b/>
        </w:rPr>
        <w:t>E. 4.2</w:t>
      </w:r>
    </w:p>
    <w:p>
      <w:r>
        <w:t>Der Versicherte reicht letztinstanzlich den Bericht der Frau Dr. med. W.________, Fachärztin für medizinische Radiologie, vom 9. Juni 2010 ein. Dabei handelt es sich um ein unzulässiges Novum: Einerseits war bereits vor der Vorinstanz die medizinische Beurteilung streitig; andererseits sind echte Noven - sofern der Bericht vom 9. Juni 2010 überhaupt als solches zu bezeichnen wäre - unzulässig. Auf den Bericht vom 9. Juni 2010 ist somit nicht weiter einzugehen.</w:t>
      </w:r>
    </w:p>
    <w:p>
      <w:r>
        <w:rPr>
          <w:b/>
        </w:rPr>
        <w:t>E. 5</w:t>
      </w:r>
    </w:p>
    <w:p>
      <w:r>
        <w:t>Nach den grundsätzlich verbindlichen Feststellungen der Vorinstanz (E. 1) liegt beim Versicherten gemäss dem Gutachten der Klinik A.________ vom 16. Oktober 2008 aus rheumatologischer Sicht eine Arbeitsunfähigkeit von 40 % und eine Leistungseinschränkung von 30 % in der zwischenzeitlich seinem Leiden angepassten Tätigkeit vor. Gestützt auf die Schlussfolgerungen in diesem Gutachten sowie im Abklärungsbericht vom 6. Dezember 2006 hat die Vorinstanz im Rahmen eines Vergleichs des Einkommens vor Einschränkung der Arbeitsfähigkeit (2003, indexiert) mit jenem nach Eintritt der beschränkten Arbeitsfähigkeit (2005) einen Invaliditätsgrad von 35 % ermittelt. Was der Beschwerdeführer dagegen vorbringt, vermag im Rahmen der massgeblichen Kognition (E. 1) nicht durchzudringen: Der Beschwerdeführer rügt die Feststellung der bloss 40 % Arbeitsunfähigkeit anstelle der von seinem Hausarzt bescheinigten Arbeitsunfähigkeit von 50 %. Anders als die Klinik A.________ begründet Dr. med. S.________, Facharzt für Physikalische Medizin und Rehabilitation, speziell Rheumatologie, seine Einschätzung der zumutbaren Arbeitsfähigkeit (50 % resp. 5 h/Tag) in den Berichten vom 6. Juni 2006 sowie 31. Mai 2007 nicht näher und es finden sich in seinen Berichten auch keine Anhaltspunkte, welche die Beurteilung durch die Klinik A.________ in Zweifel zu ziehen vermöchten. Die Beurteilung der Klinik A.________ steht denn auch in Einklang mit jener des Vertrauensarztes, Dr. med. G.________ in seinem Bericht vom 29. Juni 2006.</w:t>
      </w:r>
    </w:p>
    <w:p>
      <w:r>
        <w:t>Weiter vermengt der Beschwerdeführer die Begriffe der Arbeits- und Erwerbsunfähigkeit sowie des Invaliditätsgrades, indem er von der Arbeitsunfähigkeit von 40 % auf eine Erwerbsunfähigkeit und damit auf einen Invaliditätsgrad in diesem Ausmass schliesst. Dabei übersieht er, dass einerseits die Arbeitsunfähigkeit von 40 % sich auf seine bisherige, dem Leiden nicht angepasste Tätigkeit bezieht und dass andererseits die ärztlich festgestellte Unfähigkeit, eine leidensangepasste Tätigkeit auszuüben, wirtschaftlich gewichtet werden muss (vgl. Art. 16 ATSG ), so dass auch eine tiefere Erwerbsunfähigkeit und folglich ein tieferer Invaliditätsgrad als das Ausmass der Arbeitsunfähigkeit resultieren kann. Die IV-Stelle hat in diesem Zusammenhang zu Recht nicht die Arbeitsunfähigkeit in der ursprünglichen Tätigkeit der Invaliditätsermittlung zugrunde gelegt, sondern auf die Einschränkungen im Rahmen der leidensangepassten Tätigkeit abgestellt. Soweit der Beschwerdeführer geltend macht, indem die IV-Stelle das Gutachten bei der Klinik A.________ in Auftrag gegeben habe, habe sie anerkannt, dass der Abklärungsbericht nicht als Entscheidungsgrundlage dienen könne, verkennt er den unterschiedlichen Zweck der beiden Berichte: Während der Abklärungsbericht die beruflichen Umstände bezüglich Finanzen und möglichen behinderungsbedingten Anpassungen, mithin in betriebswirtschaftlicher Hinsicht, eruiert, dient das Gutachten der Klinik A.________ der Feststellung des medizinischen Sachverhalts, der bestehenden Leiden und den noch zumutbaren körperlichen Tätigkeiten. Die IV-Stelle ist mit der Auftragserteilung an die Klinik A.________ nur ihrer Pflicht zur allseitigen Abklärung nachgekommen; beiden Berichten kommt für ihren Bereich voller Beweiswert zu.</w:t>
      </w:r>
    </w:p>
    <w:p>
      <w:r>
        <w:rPr>
          <w:b/>
        </w:rPr>
        <w:t>E. 6</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