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4/2018 vom 13. Februar 2018</w:t>
      </w:r>
    </w:p>
    <w:p>
      <w:r>
        <w:t>Bundesgericht, 2018-02-13, IT</w:t>
      </w:r>
    </w:p>
    <w:p>
      <w:r>
        <w:rPr>
          <w:b/>
        </w:rPr>
        <w:t xml:space="preserve">Quelle: </w:t>
      </w:r>
      <w:r>
        <w:t>https://mcp.opencaselaw.ch/entscheid/bger_8C_4_2018</w:t>
      </w:r>
    </w:p>
    <w:p>
      <w:r>
        <w:t>FR: TF 8C 4/2018 du 13 février 2018</w:t>
      </w:r>
    </w:p>
    <w:p>
      <w:r>
        <w:t>IT: TF 8C 4/2018 del 13 febbraio 2018</w:t>
      </w:r>
    </w:p>
    <w:p>
      <w:pPr>
        <w:pStyle w:val="Heading2"/>
      </w:pPr>
      <w:r>
        <w:t>Regeste</w:t>
      </w:r>
    </w:p>
    <w:p>
      <w:r>
        <w:t>Assistenza sociale (domicilio) | Sanità &amp; sicurezza sociale</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sull'armonizzazione e il coordinamento delle prestazioni sociali (RL 6.4.1.2) o sull'assistenza sociale dell'8 marzo 1971 (RL 6.4.11.1), non muta la natura cantonale delle disposizioni in questione ( DTF 140 III 298 consid. 2 pag. 300; 138 I 232 consid. 2.4 pag. 236 seg.; nel campo dell'assistenza sociale cfr. sentenza 8C_294/2011 del 21 agosto 2012 consid. 1.2 non pubblicato in DTF 138 V 310 ).</w:t>
      </w:r>
    </w:p>
    <w:p>
      <w:r>
        <w:rPr>
          <w:b/>
        </w:rPr>
        <w:t>E. 1.2</w:t>
      </w:r>
    </w:p>
    <w:p>
      <w:r>
        <w:t>Tuttavia, è possibile fare valere che l'errata applicazione del diritto cantonale costituisce una violazione del diritto federale - in particolare perché arbitraria ai sensi dell' art. 9 Cost.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332 consid. 6.2 pag. 239). Le esigenze in queste evenienze sono accresciute ( art. 106 cpv. 2 LTF )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2</w:t>
      </w:r>
    </w:p>
    <w:p>
      <w:r>
        <w:t>Il ricorso in gran parte non si confronta con i considerandi del Tribunale cantonale delle assicurazioni. Il ricorrente in maniera apodittica e inammissibile si limita a riproporre la propria tesi, senza nemmeno tentare di dimostrare l'insostenibilità del giudizio cantonale. La Corte cantonale ha fondato la sua decisione su una serie di dati oggettivi, che hanno convinto i giudici ticinesi a stabilire il domicilio del ricorrente a Cadenazzo e non a Losone.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 art. 13 Cost. , non sollevata dinanzi ai giudici ticinesi ( DTF 142 I 155 consid. 4.4.6 pag. 158 seg., ma comunque ammissibile avendo questi pieno potere d'esame ed essendo tenuti ad applicare il diritto d'ufficio) in ogni caso è inconsitente,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Le tesi del ricorrente sono in definitiva da rigettare. Per il resto, si può rinviare ai considerandi del giudizio cantonale ( art. 109 cpv. 3 LTF ).</w:t>
      </w:r>
    </w:p>
    <w:p>
      <w:r>
        <w:rPr>
          <w:b/>
        </w:rPr>
        <w:t>E. 3</w:t>
      </w:r>
    </w:p>
    <w:p>
      <w:r>
        <w:t>Ne segue che il ricorso, manifestamente infondato, nella misura in cui è ammissibile, deve essere respinto secondo la procedura semplificata dell' art. 109 cpv. 2 lett. a LTF . La domanda di assistenza giudiziaria non può trovare accoglimento siccome il ricorso era sin dall'inizio sprovvisto di ogni possibilità di successo ( art. 64 cpv. 1 LTF ). Le spese dovrebbero seguire la soccombenza, tuttavia la precaria situazione finanziaria "drammatica" del ricorrente comporterebbe con molta probabilità l'impossibilità di ogni incasso con la conseguenza che sarebbero causate ancora ulteriori spese per la Confederazione. In tali circostanze, conviene prescindere eccezionalmente dalla riscossione di spese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