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499/2009 vom 6. Oktober 2009</w:t>
      </w:r>
    </w:p>
    <w:p>
      <w:r>
        <w:t>Bundesgericht, 2009-10-06, FR</w:t>
      </w:r>
    </w:p>
    <w:p>
      <w:r>
        <w:rPr>
          <w:b/>
        </w:rPr>
        <w:t xml:space="preserve">Quelle: </w:t>
      </w:r>
      <w:r>
        <w:t>https://mcp.opencaselaw.ch/entscheid/bger_8C_499_2009</w:t>
      </w:r>
    </w:p>
    <w:p>
      <w:r>
        <w:t>FR: TF 8C 499/2009 du 6 octobre 2009</w:t>
      </w:r>
    </w:p>
    <w:p>
      <w:r>
        <w:t>IT: TF 8C 499/2009 del 6 ottobre 2009</w:t>
      </w:r>
    </w:p>
    <w:p>
      <w:pPr>
        <w:pStyle w:val="Heading2"/>
      </w:pPr>
      <w:r>
        <w:t>Regeste</w:t>
      </w:r>
    </w:p>
    <w:p>
      <w:r>
        <w:t>Assurance-accidents | Assurance-accidents</w:t>
      </w:r>
    </w:p>
    <w:p>
      <w:pPr>
        <w:pStyle w:val="Heading2"/>
      </w:pPr>
      <w:r>
        <w:t>Erwägungen</w:t>
      </w:r>
    </w:p>
    <w:p>
      <w:r>
        <w:rPr>
          <w:b/>
        </w:rPr>
        <w:t>E. 1</w:t>
      </w:r>
    </w:p>
    <w:p>
      <w:r>
        <w:t>Le litige porte sur le droit éventuel du recourant à une rente d'invalidité de l'assurance-accidents. Dans la procédure de recours concernant l'octroi ou le refus de prestations en espèces de l'assurance-accidents, le Tribunal fédéral n'est pas lié par l'état de fait constaté par la juridiction inférieure ( art. 97 al. 2 LTF ).</w:t>
      </w:r>
    </w:p>
    <w:p>
      <w:r>
        <w:rPr>
          <w:b/>
        </w:rPr>
        <w:t>E. 2.1</w:t>
      </w:r>
    </w:p>
    <w:p>
      <w:r>
        <w:t>Si l'assuré est invalide ( art. 8 LPGA ) à 10 % au moins par suite d'un accident, il a droit à une rente d'invalidité ( art. 18 al. 1 LAA ). Selon l' art. 8 al. 1 LPGA , est réputée invalidité l'incapacité de gain totale ou partielle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2.2</w:t>
      </w:r>
    </w:p>
    <w:p>
      <w:r>
        <w:t>La juridiction cantonale a nié le droit de l'assuré à une rente d'invalidité, motif pris qu'il ne subissait pas d'incapacité de gain ensuite des accidents assurés. Se fondant sur les conclusions du docteur E.________ (rapport du 26 mai 2008), elle a considéré, en effet, que la capacité de travail de l'intéressé était entière dans les activités exercées antérieurement, ainsi que dans toute autre activité similaire. Le recourant ne conteste pas sérieusement le point de vue des premiers juges. En particulier, il ne fait valoir aucun élément de nature à mettre en doute les conclusions du docteur E.________ auxquelles la juridiction cantonale a accordé pleine valeur probante. Il se contente en effet de faire une appréciation personnelle au sujet de limitations fonctionnelles qu'il attribue aux accidents dont il a été victime. Une telle motivation - même en admettant qu'elle satisfait aux exigences posées à l'art. 42 al. 2, première phrase, LTF - n'est pas apte à mettre en cause le point de vue soigneusement motivé de la juridiction cantonale. Cela étant, le jugement entrepris n'est pas critiquable et le recours, manifestement infondé, doit être liquidé selon la procédure simplifiée prévue à l' art. 109 al. 2 let. a LTF .</w:t>
      </w:r>
    </w:p>
    <w:p>
      <w:r>
        <w:rPr>
          <w:b/>
        </w:rPr>
        <w:t>E. 3</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