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497/2019 vom 18. Oktober 2019</w:t>
      </w:r>
    </w:p>
    <w:p>
      <w:r>
        <w:t>Bundesgericht, 2019-10-18, DE</w:t>
      </w:r>
    </w:p>
    <w:p>
      <w:r>
        <w:rPr>
          <w:b/>
        </w:rPr>
        <w:t xml:space="preserve">Quelle: </w:t>
      </w:r>
      <w:r>
        <w:t>https://mcp.opencaselaw.ch/entscheid/bger_8C_497_2019</w:t>
      </w:r>
    </w:p>
    <w:p>
      <w:r>
        <w:t>FR: TF 8C 497/2019 du 18 octobre 2019</w:t>
      </w:r>
    </w:p>
    <w:p>
      <w:r>
        <w:t>IT: TF 8C 497/2019 del 18 ottobre 2019</w:t>
      </w:r>
    </w:p>
    <w:p>
      <w:pPr>
        <w:pStyle w:val="Heading2"/>
      </w:pPr>
      <w:r>
        <w:t>Regeste</w:t>
      </w:r>
    </w:p>
    <w:p>
      <w:r>
        <w:t>Arbeitslosenversicherung (Arbeitslosenentschädigung) | Arbeitslosenversicherung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BGG) oder dass die Gutheissung der Beschwerde sofort einen Endentscheid herbeiführen und damit einen bedeutenden Aufwand an Zeit oder Kosten für ein weitläufiges Beweisverfahren ersparen würde (Abs. 1 lit. b BGG).</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ff.; Urteil 8C_682/2007 vom 30. Juli 2008 E. 1.2.2, nicht publ. in: BGE 134 V 392 ). Auf die Beschwerde der Arbeitslosenkasse ist demnach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3</w:t>
      </w:r>
    </w:p>
    <w:p>
      <w:r>
        <w:t>Streitig und zu prüfen ist, ob in Bezug auf die Unterhaltspflicht gegenüber Kindern im Sinne von Art. 22 Abs. 2 lit. a AVIG eine absolute Altersgrenze von 25 Jahren gilt oder ob im Einzelfall auch bei über 25-jährigen Kindern der höhere Taggeldansatz von 80 % zur Anwendung kommen kann. Unbestritten ist, dass der Sohn (Jahrgang 1990) des Beschwerdegegners zum Zeitpunkt der Anspruchserhebung am 1. Januar 2018 bereits 27 Jahre alt war.</w:t>
      </w:r>
    </w:p>
    <w:p>
      <w:r>
        <w:rPr>
          <w:b/>
        </w:rPr>
        <w:t>E. 4</w:t>
      </w:r>
    </w:p>
    <w:p>
      <w:r>
        <w:t>Das kantonale Gericht erwog, es bestehe - entgegen der Auffassung der Arbeitslosenkasse - keine zeitliche Begrenzung der Unterhaltspflicht auf das vollendete 25. Altersjahr. Dabei stützte es sich auf BGE 130 V 237 . Dieser ist inzwischen allerdings infolge Gesetzesrevision überholt, wie die Beschwerdeführerin zu Recht vorbringt und die Vorinstanz in ihrer Vernehmlassung ebenfalls einräumt. Gemäss der damals geltenden Bestimmung von Art. 22 Abs. 2 lit. a AVIG (e contrario) erhielten Arbeitslose ein Taggeld von 80 % des versicherten Verdienstes, sofern sie eine Unterhaltspflicht gegenüber Kindern hatten. Eine Altersgrenze der Kinder war im Gesetz nicht vorgesehen. Das Bundesgericht stellte klar, dass zivilrechtlich keine absolute zeitliche Begrenzung der Unterhaltspflicht auf das vollendete 25. Altersjahr bestehe (E. 3.2). Die anderslautende Weisung im Kreisschreiben des Staatssekretariats für Wirtschaft (SECO), wonach im Rahmen der Taggeldfestsetzung die Unterhaltspflicht gegenüber Kindern gemäss Art. 276 ff. ZGB höchstens bis zum 25. Altersjahr anzuerkennen sei, sei demnach nicht gesetzmässig (E. 3.3). In der seit 1. April 2011 geltenden Fassung von Art. 22 Abs. 2 lit. a AVIG ist nunmehr aber ausdrücklich eine Altersgrenze von 25 Jahren verankert (vgl. auch Art. 33 Abs. 1 AVIV ). Danach erhalten ein Taggeld in der Höhe von 70 % des versicherten Verdienstes Versicherte, die keine Unterhaltspflicht gegenüber Kindern unter 25 Jahren haben. Mit der neuen Bestimmung sollte eine bessere Koordination mit den übrigen Sozialversicherungen sowie eine Anpassung an die kantonalen Gesetzgebungen und das FamZG erreicht werden (vgl. Botschaft vom 3. September 2008 zur Änderung des Arbeitslosenversicherungsgesetzes, BBl 2008 7749 Ziff. 2). An die revidierte Gesetzesbestimmung, die bezüglich Altersgrenze keinen Auslegungsspielraum belässt, ist das Bundesgericht gebunden ( Art. 190 BV ).</w:t>
      </w:r>
    </w:p>
    <w:p>
      <w:r>
        <w:rPr>
          <w:b/>
        </w:rPr>
        <w:t>E. 5</w:t>
      </w:r>
    </w:p>
    <w:p>
      <w:r>
        <w:t>Da der Beschwerdegegner im massgebenden Zeitpunkt keine Unterhaltspflicht gegenüber Kindern unter 25 Jahren hatte, verletzt der angefochtene Entscheid somit Bundesrecht. Die Beschwerde ist begründet und gutzuheissen.</w:t>
      </w:r>
    </w:p>
    <w:p>
      <w:r>
        <w:rPr>
          <w:b/>
        </w:rPr>
        <w:t>E. 6</w:t>
      </w:r>
    </w:p>
    <w:p>
      <w:r>
        <w:t>Mit Blick auf den offenkundigen Fehler, den die Vorinstanz selber einräumt, und aus Billigkeitsgründen wird in Anwendung von Art. 66 Abs. 1 Satz 2 BGG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