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8C_496/2024 vom 24. Juni 2025</w:t>
      </w:r>
    </w:p>
    <w:p>
      <w:r>
        <w:t>Bundesgericht, 2025-06-24, DE</w:t>
      </w:r>
    </w:p>
    <w:p>
      <w:r>
        <w:rPr>
          <w:b/>
        </w:rPr>
        <w:t xml:space="preserve">Quelle: </w:t>
      </w:r>
      <w:r>
        <w:t>https://mcp.opencaselaw.ch/entscheid/bger_8C_496_2024</w:t>
      </w:r>
    </w:p>
    <w:p>
      <w:r>
        <w:t>FR: TF 8C_496/2024 du 24 juin 2025</w:t>
      </w:r>
    </w:p>
    <w:p>
      <w:r>
        <w:t>IT: TF 8C_496/2024 del 24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Es steht fest und ist unbestritten, dass die Beschwerdegegnerin für die bleibenden Folgen des Ereignisses vom 25. Dezember 2015 Anspruch auf eine Intergritätsenschädigung bei einer Einbusse von 25 % und ab 1. Oktober 2020 auf eine Invalidenrente der Unfallversicherung hat. Streitig ist demgegenüber der für die Ausrichtung der Rente massgebende Invaliditätsgrad: Während das kantonale Gericht eine Rente bei einem Invaliditätsgrad von 57 % zusprach, macht die Beschwerdeführerin geltend, dieser betrage lediglich 45 %.</w:t>
      </w:r>
    </w:p>
    <w:p>
      <w:r>
        <w:rPr>
          <w:b/>
        </w:rPr>
        <w:t>E. 3.1</w:t>
      </w:r>
    </w:p>
    <w:p>
      <w:r>
        <w:t>Ist der Versicherte infolge des Unfalles zu mindestens 10 % invalid, so hat er gemäss Art. 18 Abs. 1 UVG Anspruch auf eine Invalidenrente, sofern sich der Unfall vor Erreichen des Referenzalters ereignet hat.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3.2</w:t>
      </w:r>
    </w:p>
    <w:p>
      <w:r>
        <w:t>Nach Art. 48 Abs. 1 UVG kann der Versicherer unter angemessener Rücksichtnahme auf den Versicherten und seine Angehörigen die nötigen Anordnungen zur zweckmässigen Behandlung des Versicherten treffen.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nach Art. 21 Abs. 4 ATSG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t>Weigert sich ein Versicherter ohne zureichenden Grund, sich einer zumutbaren Behandlung oder Eingliederungsmassnahme zu unterziehen, so werden ihm nach Art. 61 UVV nur die Leistungen gewährt, die beim erwarteten Erfolg dieser Massnahmen wahrscheinlich hätten entrichtet werden müssen.</w:t>
      </w:r>
    </w:p>
    <w:p>
      <w:r>
        <w:rPr>
          <w:b/>
        </w:rPr>
        <w:t>E. 4.1</w:t>
      </w:r>
    </w:p>
    <w:p>
      <w:r>
        <w:t>Es steht fest und ist unbestritten, dass die medizinisch-theoretische Arbeitsfähigkeit der Beschwerdegegnerin aufgrund des beweiswertigen Gutachtens der asim vom 31. Dezember 2021 sowie der zusätzlichen Stellungnahme der fallführenden Gutachterin vom 3. Mai 2024 zu bestimmen ist. Darin wird der Beschwerdegegnerin in einer optimal leidensangepassten Tätigkeit eine Arbeitsfähigkeit von 50 % attestiert; unter der Voraussetzung einer Optimierung der aktuell (mithin im Zeitpunkt der Gutachtenserstellung) noch nicht ausgebauten Schmerztherapie eine solche von 60 %. Das kantonale Gericht folgerte aus diesen Angaben, dass die Invaliditätsbemessung auf einer medizinisch-theoretischen Arbeitsfähigkeit von 50 % in einer optimal angepassten Tätigkeit zu beruhen habe. Entgegen den Vorbringen der Beschwerdeführerin ist dieser Schluss nicht zu beanstanden: Zwar mag es zutreffen, dass der Beschwerdegegnerin die von den Gutachtern vorgeschlagene Schmerztherapie zumutbar wäre und dass eine Weigerung der Versicherten, sich dieser zu unterziehen, im Sinne von Art. 61 UVV bei der Festsetzung der Leistungen mitberücksichtigt werden könnte. Dies würde indessen ein rechtskonform durchgeführtes Mahn- und Bedenkzeitverfahren im Sinne von Art. 21 Abs. 4 ATSG voraussetzen (vgl. BGE 134 V 189 ). Dass ein solches durchgeführt wurde, ist vorliegend weder geltend gemacht noch ersichtlich, so dass der Invaliditätsbemessung die tatsächliche Leistungsfähigkeit der Beschwerdegegnerin zu Grunde zu legen ist. Abgesehen davon bestehen keine Anhaltspunkte dafür, dass die Beschwerdegegnerin ihren Mitwirkungspflichten nicht nachgekommen wäre.</w:t>
      </w:r>
    </w:p>
    <w:p>
      <w:r>
        <w:rPr>
          <w:b/>
        </w:rPr>
        <w:t>E. 4.2</w:t>
      </w:r>
    </w:p>
    <w:p>
      <w:r>
        <w:t>Ausgehend von einer der Versicherten verbliebenen medizinisch-theoretischen Arbeitsfähigkeit von 50 % in einer optimal angepassten Tätigkeit ermittelte die Vorinstanz mittels eines Einkommensvergleichs im Sinne von Art. 16 ATSG einen Invaliditätsgrad von 57 %. Dabei ging sie zur Bestimmung des Invalideneinkommens von den Werten der Schweizerischen Lohnstrukturerhebung LSE aus und korrigierte den Tabellenlohn um einen Abzug im Sinne von BGE 126 V 75 in der Höhe von 10 %. Die Suva, die in ihrem Einspracheentscheid vom 5. Dezember 2022 ihrerseits nur einen Abzug von 5 % gewährt hatte, rügt, das kantonale Gericht habe damit ohne triftigen Grund sein Ermessen an die Stelle jenes des Versicherungsträgers gesetzt. Diese Argumentation ist vorliegend schon aus dem Grunde nicht stichhaltig, als die Vorinstanz - zutreffenderweise (vgl. E. 4.1 hiervor) - von einer gegenüber dem Einspracheentscheid abweichenden medizinisch-theoretischen Arbeitsfähigkeit ausging und bereits deshalb eine Neuschätzung des Abzuges erfolgen musste. Die Frage der Angemessenheit des von der Vorinstanz auf 10 % festgelegten Abzuges stellt praxisgemäss eine Ermessensfrage dar, deren Beantwortung letztinstanzlicher Korrektur nur mehr dort zugänglich ist, wo das Gericht das Ermessen rechtsfehlerhaft ausgeübt hat, also Ermessensüberschreitung, -missbrauch oder -unterschreitung vorliegt ( BGE 137 V 71 E. 5.1 mit weiteren Hinweisen). Eine solche rechtsfehlerhafte Ermessensausübung ist vorliegend weder geltend gemacht noch ersichtlich. Die Beschwerde der Suva ist somit auch in diesem Punkt abzuweisen.</w:t>
      </w:r>
    </w:p>
    <w:p>
      <w:r>
        <w:rPr>
          <w:b/>
        </w:rPr>
        <w:t>E. 5</w:t>
      </w:r>
    </w:p>
    <w:p>
      <w:r>
        <w:t>Dem Prozessausgang entsprechend sind die Gerichtskosten der Beschwerdeführerin aufzuerlegen ( Art. 66 Abs. 1 BGG ). Diese hat dem Rechtsvertreter der Beschwerdegegnerin überdies eine Parteientschädigung zu entrichten ( Art. 68 Abs. 1 BGG ). Damit wird das Gesuch der Beschwerdegegnerin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