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8C_496/2014 vom 21. November 2014</w:t>
      </w:r>
    </w:p>
    <w:p>
      <w:r>
        <w:t>Bundesgericht, 2014-11-21, DE</w:t>
      </w:r>
    </w:p>
    <w:p>
      <w:r>
        <w:rPr>
          <w:b/>
        </w:rPr>
        <w:t xml:space="preserve">Quelle: </w:t>
      </w:r>
      <w:r>
        <w:t>https://mcp.opencaselaw.ch/entscheid/bger_8C_496_2014</w:t>
      </w:r>
    </w:p>
    <w:p>
      <w:r>
        <w:t>FR: TF 8C_496/2014 du 21 novembre 2014</w:t>
      </w:r>
    </w:p>
    <w:p>
      <w:r>
        <w:t>IT: TF 8C_496/2014 del 21 novembre 2014</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Der angefochtene kantonale Entscheid vom 20. Mai 2014 stellt einen Zwischenentscheid dar. Da in ihm für die Beschwerdeführerin verbindlich festgehalten wurde, dass ein allfälliger Kausalzusammenhang zwischen dem Unfallereignis vom 15. Juni 2010 und den über den 1. September 2012 hinaus bestehenden organisch nicht hinreichend nachweisbaren Beschwerden adäquat und damit rechtsgenüglich wäre, wäre die SUVA - könnte sie diesen Entscheid nicht vor Bundesgericht anfechten -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 Auf die Beschwerde der SUVA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die Höhe der Leistungsansprüche des Versicherten in der Zeit ab 1. September 2012. Dabei ist letztinstanzlich nicht länger streitig, dass ihm alleine aufgrund der organisch nachweisbaren Befunde ab diesem Datum eine Rente bei einem Invaliditätsgrad von 32 % und eine Integritätsentschädigung bei einer Einbusse von 20 % zustehen. Zu prüfen ist indessen, ob die Unfallversicherung auch für allfällige organisch nicht hinreichend nachweisbare Unfallfolgen Leistungen zu erbringen hat.</w:t>
      </w:r>
    </w:p>
    <w:p>
      <w:r>
        <w:rPr>
          <w:b/>
        </w:rPr>
        <w:t>E. 4.1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4.2.1</w:t>
      </w:r>
    </w:p>
    <w:p>
      <w:r>
        <w:t>Die Schwere des Unfalles bestimmt sich dabei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 Immerhin können die erlittenen Verletzungen aber Rückschlüsse auf die Kräfte, die sich beim Unfall entwickelt haben, gestatten (SVR 2009 UV Nr. 57 S. 203, 8C_77/2009 E. 4.1.1).</w:t>
      </w:r>
    </w:p>
    <w:p>
      <w:r>
        <w:rPr>
          <w:b/>
        </w:rPr>
        <w:t>E. 4.2.2</w:t>
      </w:r>
    </w:p>
    <w:p>
      <w:r>
        <w:t>Gemäss den unbestritten gebliebenen Feststellungen der Vorinstanz hatte der Versicherte am 15. Juni 2010 den Auftrag, auf einer Baustelle ein Schalungsgeländer zu montieren. Dabei stand er nicht nur auf dem Beton, sondern auch auf der Verschalung. Vorgängig war von unten her an derselben Verschalung gearbeitet und ein Sicherheitselement entfernt worden. Die Verschalung vermochte den Versicherten nicht zu tragen und dieser stürzte 4,2 Meter in die Tiefe.</w:t>
      </w:r>
    </w:p>
    <w:p>
      <w:r>
        <w:rPr>
          <w:b/>
        </w:rPr>
        <w:t>E. 4.2.3</w:t>
      </w:r>
    </w:p>
    <w:p>
      <w:r>
        <w:t>Praxisgemäss werden Stürze aus einer Höhe zwischen etwa zwei (vgl. Urteil U 410/00 vom 14. Februar 2002 E. 2c) und etwa vier Metern (vgl. Urteil 8C_316/2009 vom 8. Juni 2009) in die Tiefe noch als im engeren Sinne mittelschwere Unfälle qualifiziert (vgl. auch Urteil 8C_584/2007 vom 9. September 2008 E. 4.1, U 3/03 vom 4. September 2003 E. 3.4 und U 41/06 vom 2. Februar 2007 E. 9); landet die versicherte Person auf den Füssen, so ist selbst bei einer Sturzhöhe von fünf Metern nicht ein Unfall im Grenzbereich zu den schweren Ereignissen anzunehmen (vgl. Urteil U 11/07 vom 27. Februar 2008 E. 4.2.2). Der Versicherte verletzte sich bei seinem Sturz am Sprunggelenk und an der Lendenwirbelsäule. Daraus ist zu schliessen, dass der Aufprall auf den Boden jedenfalls nicht kopfüber stattfand. Somit ist entgegen den Erwägungen der Vorinstanz bei einer Sturzhöhe von 4,2 Metern noch von einem im engeren Sinne mittelschweren Unfall auszugehen. Die Adäquanz eines allfälligen Kausalzusammenhanges zwischen dem Unfallereignis vom 15. Juni 2010 und allfälligen organisch nicht hinreichend nachweisbaren Unfallfolgen wäre damit lediglich dann zu bejahen, wenn eines der massgebenden Kriterien ausgeprägt erfüllt wäre oder drei der Kriterien gegeben wären (vgl. Urteil 8C_897/2009 vom 29. Januar 2010 E. 4.5).</w:t>
      </w:r>
    </w:p>
    <w:p>
      <w:r>
        <w:rPr>
          <w:b/>
        </w:rPr>
        <w:t>E. 4.3</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Wie die Vorinstanz zutreffend erwogen hat, ist das Kriterium vorliegend nicht erfüllt.</w:t>
      </w:r>
    </w:p>
    <w:p>
      <w:r>
        <w:rPr>
          <w:b/>
        </w:rPr>
        <w:t>E. 4.4</w:t>
      </w:r>
    </w:p>
    <w:p>
      <w:r>
        <w:t>Wie das kantonale Gericht ausführlich und überzeugend dargelegt hat, ist das Kriterium der ungewöhnlich langen Dauer der ärztlichen Behandlung zu verneinen. Der Beschwerdegegner bringt nichts vor, was zu einer abweichenden Betrachtungsweise Anlass geben würde.</w:t>
      </w:r>
    </w:p>
    <w:p>
      <w:r>
        <w:rPr>
          <w:b/>
        </w:rPr>
        <w:t>E. 4.5</w:t>
      </w:r>
    </w:p>
    <w:p>
      <w:r>
        <w:t>Der Versicherte gab am 25. August 2011 gegenüber den Ärzten des Spitals C.________ an, die Schmerzen im linken Fuss seien belastungsabhängig, in der Ruhe sei er praktisch beschwerdefrei. Dem Kreisarzt der SUVA berichtete er am 16. November 2011, Sitzen in entspannter Haltung würde zu keinen Schmerzen im Rückenbereich führen. Es ist somit davon auszugehen, dass entspanntes Sitzen sowohl von Seiten des Fusses als auch von Seiten des Rückens schmerzfrei möglich ist. Wie die SUVA unter Hinweis auf das Urteil U 21/06 vom 30. August 2006 E. 4.5 zutreffend ausführt, ist somit entgegen dem kantonalen Entscheid das Kriterium des körperlichen Dauerschmerzes nicht erfüllt.</w:t>
      </w:r>
    </w:p>
    <w:p>
      <w:r>
        <w:rPr>
          <w:b/>
        </w:rPr>
        <w:t>E. 4.6</w:t>
      </w:r>
    </w:p>
    <w:p>
      <w:r>
        <w:t>Aus der ärztlichen Behandlung und allfälligen erheblichen Beschwerden kann nicht schon auf ein Erfüllen des Kriteriums des schwierigen Heilungsverlaufes und der erheblichen Komplikationen geschlossen werden. Es bedarf hierzu besonderer Gründe, welche die Heilung beeinträchtigt haben. Auch unter der Berücksichtigung des Umstandes, dass es beim Versicherten im Rücken zu einem (zwischenzeitlich erfolgreich sanierten) Implantatbruch kam, ist dieses Kriterium vorliegend zu verneinen.</w:t>
      </w:r>
    </w:p>
    <w:p>
      <w:r>
        <w:rPr>
          <w:b/>
        </w:rPr>
        <w:t>E. 4.7</w:t>
      </w:r>
    </w:p>
    <w:p>
      <w:r>
        <w:t>Entgegen den Ausführungen des Beschwerdegegners kann aus dem Implantatbruch auch nicht auf eine ärztliche Fehlbehandlung im Sinne des entsprechenden Kriteriums geschlossen werden.</w:t>
      </w:r>
    </w:p>
    <w:p>
      <w:r>
        <w:rPr>
          <w:b/>
        </w:rPr>
        <w:t>E. 4.8</w:t>
      </w:r>
    </w:p>
    <w:p>
      <w:r>
        <w:t>Was schliesslich die beiden Kriterien der Schwere oder besonderen Art der erlittenen Verletzungen und des Grades und der Dauer der physisch bedingten Arbeitsunfähigkeit betrifft, gilt festzustellen, dass selbst wenn diese bejaht werden könnten, sie jedenfalls nicht in ausgeprägter Weise gegeben sind.</w:t>
      </w:r>
    </w:p>
    <w:p>
      <w:r>
        <w:rPr>
          <w:b/>
        </w:rPr>
        <w:t>E. 4.9</w:t>
      </w:r>
    </w:p>
    <w:p>
      <w:r>
        <w:t>Da mithin keines der massgeblichen Kriterien besonders ausgeprägt vorliegt und selbst dann, wenn man zugunsten des Versicherten die beiden Kriterien der erheblichen Beschwerden und der erheblichen Arbeitsunfähigkeit trotz ausgewiesener Anstrengungen als erfüllt erachten würde, sind die Kriterien nicht in gehäufter Weise gegeben, womit die Adäquanz eines Kausalzusammenhanges zwischen dem Unfallereignis vom 15. Juni 2010 und den über den 1. September 2012 hinaus anhaltend geklagten, organisch nicht im Sinne der Rechtsprechung hinreichend nachweisbaren Beschwerden, zu verneinen ist. Die SUVA hatte somit zu Recht ihre Leistungspflicht lediglich für die organisch hinreichend nachweisbaren Unfallfolgen bejaht; entsprechend ist ihre Beschwerde gutzuheissen und der vorinstanzliche Entscheid aufzuheben.</w:t>
      </w:r>
    </w:p>
    <w:p>
      <w:r>
        <w:rPr>
          <w:b/>
        </w:rPr>
        <w:t>E. 5</w:t>
      </w:r>
    </w:p>
    <w:p>
      <w:r>
        <w:t>Dem Ausgang der Verfahren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