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8C_495/2023 vom 29. August 2023</w:t>
      </w:r>
    </w:p>
    <w:p>
      <w:r>
        <w:t>Bundesgericht, 2023-08-29, DE</w:t>
      </w:r>
    </w:p>
    <w:p>
      <w:r>
        <w:rPr>
          <w:b/>
        </w:rPr>
        <w:t xml:space="preserve">Quelle: </w:t>
      </w:r>
      <w:r>
        <w:t>https://mcp.opencaselaw.ch/entscheid/bger_8C_495_2023</w:t>
      </w:r>
    </w:p>
    <w:p>
      <w:r>
        <w:t>FR: TF 8C_495/2023 du 29 août 2023</w:t>
      </w:r>
    </w:p>
    <w:p>
      <w:r>
        <w:t>IT: TF 8C_495/2023 del 29 agosto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Die Vorinstanz legte im Urteil vom 9. Juni 2023 in Auseinandersetzung mit den Parteivorbringen und in Würdigung der Akten dar, weshalb der Einspracheentscheid der Beschwerdegegnerin vom 13. Dezember 2022, worin ein Leistungsanspruch wegen der geltend gemachten Covid-19-Erkrankung verneint wurde, rechtens ist.</w:t>
      </w:r>
    </w:p>
    <w:p>
      <w:r>
        <w:rPr>
          <w:b/>
        </w:rPr>
        <w:t>E. 3</w:t>
      </w:r>
    </w:p>
    <w:p>
      <w:r>
        <w:t>Die Beschwerdeführerin zeigt nicht hinreichend auf, inwieweit die mit mehreren selbstständigen Begründungen untermauerte Leistungsablehnung gegen Bundesrecht verstossen oder einen anderen Beschwerdegrund (vgl. Art. 95 lit. a-e, Art. 97 Abs. 2 BGG ) gesetzt haben soll. Insbesondere fehlt es an einer näheren Auseinandersetzung mit den einlässlichen vorinstanzlichen Ausführungen bezüglich des (vorliegend fehlenden) Erfordernisses eines spezifischen Expositionsrisikos als Anspruchsvoraussetzung nach Art. 9 Abs. 1 UVG .</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