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493/2020 vom 5. Oktober 2020</w:t>
      </w:r>
    </w:p>
    <w:p>
      <w:r>
        <w:t>Bundesgericht, 2020-10-05, DE</w:t>
      </w:r>
    </w:p>
    <w:p>
      <w:r>
        <w:rPr>
          <w:b/>
        </w:rPr>
        <w:t xml:space="preserve">Quelle: </w:t>
      </w:r>
      <w:r>
        <w:t>https://mcp.opencaselaw.ch/entscheid/bger_8C_493_2020</w:t>
      </w:r>
    </w:p>
    <w:p>
      <w:r>
        <w:t>FR: TF 8C 493/2020 du 5 octobre 2020</w:t>
      </w:r>
    </w:p>
    <w:p>
      <w:r>
        <w:t>IT: TF 8C 493/2020 del 5 ottobre 2020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das kantonale Gericht Bundesrecht verletzte, indem es die vom AWA verfügte Einstellung für die Dauer von 18 Tagen wegen Nichtbefolgens einer Weisung (Besuch einer arbeitsmarktlichen Massnahme) bestätigte. Zur Frage steht dabei, ob der Einstellung ein Anspruch des Beschwerdeführers auf Bezug ihm noch zustehender kontrollfreier Tage vor seiner Abmeldung bei der Arbeitslosenversicherung per 11. November 2019 entgegenstand.</w:t>
      </w:r>
    </w:p>
    <w:p>
      <w:r>
        <w:rPr>
          <w:b/>
        </w:rPr>
        <w:t>E. 3</w:t>
      </w:r>
    </w:p>
    <w:p>
      <w:r>
        <w:t>Gemäss Art. 27 AVIV hat der Versicherte nach je 60 Tagen kontrollierter Arbeitslosigkeit innerhalb der Rahmenfrist Anspruch auf fünf aufeinander folgende kontrollfreie Tage, die er frei wählen kann. Während der kontrollfreien Tage muss er nicht vermittlungsfähig sein, jedoch die übrigen Anspruchsvoraussetzungen ( Art. 8 AVIG ) erfüllen (Abs. 1). Der Versicherte hat den Bezug seiner kontrollfreien Tage spätestens 14 Tage im Voraus der zuständigen Amtsstelle zu melden (Abs. 3).</w:t>
      </w:r>
    </w:p>
    <w:p>
      <w:r>
        <w:rPr>
          <w:b/>
        </w:rPr>
        <w:t>E. 4</w:t>
      </w:r>
    </w:p>
    <w:p>
      <w:r>
        <w:t>Das kantonale Gericht stellte fest, der Beschwerdeführer habe erst am 18. Oktober 2019 und damit verspätet angekündigt, dass er ab 21. Oktober 2019 die ihm noch zustehenden 15 kontrollfreien Tage beziehen wolle. Die verfügte Einstellung für 18 Tage wegen Nichtbesuchs des Kurses vom 23. Oktober 2019 bis zur Abmeldung bei der Arbeitslosenversicherung per 11. November 2019 sei daher nicht zu beanstanden. Der Beschwerdeführer macht geltend, dass mit Blick auf seine Abmeldung bei der Arbeitslosenversicherung ein Anspruch auf Bezug dieser kontrollfreien Tage auch ohne Einhaltung der vierzehntägigen Frist bestanden habe, dies analog zum Ferienanspruch im privatrechtlichen Arbeitsverhältnis. Mit der Bestätigung der Einstellung in der Anspruchsberechtigung habe ihm die Vorinstanz den Bezug der ihm zustehenden kontrollfreien Tage zu Unrecht verwehrt.</w:t>
      </w:r>
    </w:p>
    <w:p>
      <w:r>
        <w:rPr>
          <w:b/>
        </w:rPr>
        <w:t>E. 5</w:t>
      </w:r>
    </w:p>
    <w:p>
      <w:r>
        <w:t>Inwiefern das kantonale Gericht hinsichtlich der Zeitpunkte der Ankündigung des beabsichtigten Bezugs der kontrollfreien Tage (18. Oktober 2019) sowie der Abmeldung bei der Arbeitslosenversicherung per 11. November 2019 offensichtlich unrichtige sachverhaltliche Feststellungen getroffen haben sollte, ist nicht erkennbar und wird auch nicht geltend gemacht. Es wird in der Beschwerde zudem nicht substanziiert dargetan, welche arbeitslosenversicherungsrechtlichen Bestimmungen die Vorinstanz verletzt haben sollte, indem sie einen Anspruch auf "Stempelferien" zufolge verspäteter Ankündigung gestützt auf Art. 27 Abs. 3 AVIV verneinte. Daran kann die Abmeldung des Beschwerdeführers per 11. November 2019 nichts ändern. Aus der von ihm angerufenen Praxis zum Bezug eines verbleibenden Ferienanspruchs in natura im privatrechtlichen Arbeitsverhältnis nach dessen Kündigung ( BGE 106 II 152 ) kann er mit Blick auf das im Bereich der Leistungsverwaltung geltende Legalitätsprinzip nichts zu seinen Gunsten ableiten. Dass die Vorinstanz einen Anspruch auf "Stempelferien" ab 22. Oktober bis 11. November 2019 verneinte und den Beschwerdeführer aus diesem Grund vom verfügten Kursbesuch ab 22. Oktober 2019 nicht befreite, sondern die diesbezügliche Sanktionierung durch das AWA mittels Einstellung in der Anspruchsberechtigung bestätigte, ist daher nicht zu beanstanden.</w:t>
      </w:r>
    </w:p>
    <w:p>
      <w:r>
        <w:rPr>
          <w:b/>
        </w:rPr>
        <w:t>E. 6</w:t>
      </w:r>
    </w:p>
    <w:p>
      <w:r>
        <w:t>Die Beschwerde ist offensichtlich unbegründet und wird im vereinfachten Verfahren nach Art. 109 BGG mit summarischer Begründung und unter Verweis auf den vorinstanzlichen Entscheid erledigt.</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