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493/2010 vom 22. November 2010</w:t>
      </w:r>
    </w:p>
    <w:p>
      <w:r>
        <w:t>Bundesgericht, 2010-11-22, DE</w:t>
      </w:r>
    </w:p>
    <w:p>
      <w:r>
        <w:rPr>
          <w:b/>
        </w:rPr>
        <w:t xml:space="preserve">Quelle: </w:t>
      </w:r>
      <w:r>
        <w:t>https://mcp.opencaselaw.ch/entscheid/bger_8C_493_2010</w:t>
      </w:r>
    </w:p>
    <w:p>
      <w:r>
        <w:t>FR: TF 8C 493/2010 du 22 novembre 2010</w:t>
      </w:r>
    </w:p>
    <w:p>
      <w:r>
        <w:t>IT: TF 8C 493/2010 del 22 novembre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mit Verfügung vom 15. Juli 2002 rückwirkend ab 1. Februar 1999 zugesprochene Invalidenrente revisionsweise zu erhöhen ist. Die Rechtsgrundlagen hiefür sind im angefochtenen Entscheid zutreffend dargelegt. Das gilt namentlich auch für die Grundsätze über die für einen Leistungsanspruch erforderlichen kausalen Zusammenhänge und über die Rentenrevision mit den zu beachtenden beweisrechtlichen Regeln. Hervorzuheben ist, dass die Leistungspflicht des Unfallversicherers unter anderem einen natürlichen und adäquaten Kausalzusammenhang zwischen dem Unfall und dem eingetretenen Schaden voraussetzt ( BGE 129 V 177 E. 3.1 und 3.2 S. 181 mit Hinweisen). Gemäss Art. 17 Abs. 1 ATSG in Verbindung mit Art. 1 Abs. 1 UVG wird die Invalidenrente bei einer erheblichen Änderung des Invaliditätsgrades von Amtes wegen oder auf Gesuch hin für die Zukunft entsprechend erhöht, herabgesetzt oder aufgehoben. Anlass zu einer solchen Rentenrevision gibt jede wesentliche Änderung in den tatsächlichen Verhältnissen, die geeignet ist, den Invaliditätsgrad und damit den Rentenanspruch zu beeinflussen ( BGE 134 V 131 E. 3 S. 132 mit Hinweisen). Zu vergleichen ist dabei der Sachverhalt im Zeitpunkt, in welchem die Rente rechtskräftig gewährt bzw. materiell bestätigt worden ist, mit dem Sachverhalt im Zeitpunkt der Neubeurteilung ( BGE 130 V 343 E. 3.5.2 S. 351; vgl. auch BGE 134 V 131 E. 3 S. 132 f. mit Hinweis). Im vorliegenden Fall ist somit der Sachverhalt im Zeitpunkt der rentenzusprechenden Verfügung vom 15. Juli 2002 mit demjenigen im Zeitpunkt des die revisionsweise Rentenerhöhung verneinenden Einspracheentscheides vom 21. September 2007 zu vergleichen. Dabei steht als revisionsbegründende Änderung eine Verschlechterung des Gesundheitszustandes zur Diskussion.</w:t>
      </w:r>
    </w:p>
    <w:p>
      <w:r>
        <w:rPr>
          <w:b/>
        </w:rPr>
        <w:t>E. 3.1</w:t>
      </w:r>
    </w:p>
    <w:p>
      <w:r>
        <w:t>Der Rentenzusprechung vom 15. Juli 2002 lag die Vereinbarung der Parteien vom 31. Mai/24. August 2001 zu Grunde. Sie basierte auf der Annahme einer Erwerbsunfähigkeit von 51 %, welche sich aus der gesundheitsbedingten Reduktion des Beschäftigungsgrades auf 70 % sowie der damit verbundenen Einschränkung des Pflichtenhefts und Herabstufung in der Besoldungsklasse ergab. Gemäss den der Rentenzusprechung im Wesentlichen zu Grunde gelegten medizinischen Unterlagen (Bericht der Frau L.________, Psychologin der neuropsychologischen Abteilung des Universitätsspitals A._______, vom 23. Oktober 2000, Bericht des SUVA-Kreisarztes Dr. med. S.________, Facharzt FMH für Chirurgie, vom 14. Januar 2000, Bericht des Dr. med. H.________, FMH Innere Medizin, vom 16. August 1999 sowie diverse Berichte der Klinik B.________) wurden vor allem Spannungskopfschmerzen, leichte bis mittelschwere neuropsychologische Defizite sowie ein Zervikalsyndrom festgestellt.</w:t>
      </w:r>
    </w:p>
    <w:p>
      <w:r>
        <w:rPr>
          <w:b/>
        </w:rPr>
        <w:t>E. 3.2</w:t>
      </w:r>
    </w:p>
    <w:p>
      <w:r>
        <w:t>Was die gesundheitliche Situation im Zeitpunkt des die revisionsweise Rentenerhöhung verneinenden Einspracheentscheids vom 21. September 2007 anbelangt, ergaben weder das am 27. November 2002 durchgeführte Röntgen der Brustwirbelsäule noch die anlässlich der Begutachtung durch Dr. med. C.________ erhobenen neuropsychologischen Testergebnisse (Gutachten vom 30. Januar 2006) eine massgebliche Befundänderung. Zu den bisherigen Beschwerden hinzugetreten sind jedoch gemäss Bericht der Frau K.________, Psychologin, vom 28. Januar 2005, und gemäss Gutachten des Dr. med. C.________ vom 30. Januar 2006 eine gemischte Anpassungsstörung, Angst und eine depressive Reaktion. Wie das kantonale Gericht in sorgfältiger Würdigung der medizinischen Aktenlage, namentlich gestützt auf das sämtlichen Beweisanforderungen entsprechende Gutachten des Dr. med. C.________ vom 30. Januar 2006, überzeugend darlegt, können diese psychischen Beschwerden nicht mit überwiegender Wahrscheinlichkeit auf das Unfallereignis zurückgeführt werden, sondern sind sie vielmehr auf die Stresssituation am Arbeitsplatz zurückzuführen. Auch einen Zusammenhang zwischen den Folgen der HWS-Distorsion und den Schwierigkeiten bezüglich Stressumgang bezeichnet Dr. med. C.________ lediglich als möglich, nicht aber wahrscheinlich. Die blosse Möglichkeit eines Zusammenhangs, wie sie auch im Privatgutachten des Dr. med. F.________ vom 25. Juni 2008, erwähnt wird, genügt indessen nicht für die Erstellung eines natürlichen Kausalzusammenhangs. Daran vermögen die Einwendungen des Beschwerdeführers nichts zu ändern.</w:t>
      </w:r>
    </w:p>
    <w:p>
      <w:r>
        <w:rPr>
          <w:b/>
        </w:rPr>
        <w:t>E. 3.3</w:t>
      </w:r>
    </w:p>
    <w:p>
      <w:r>
        <w:t>Aus der revisionsweisen Erhöhung der Rente seitens der Invalidenversicherung kann der Beschwerdeführer nichts bezüglich Rente der Unfallversicherung ableiten, berücksichtigt doch die Invalidenversicherung, wie das kantonale Gericht zutreffend ausführt, sämtliche Beschwerden des Versicherten inklusive der psychischen, nicht nur die unfallkausalen.</w:t>
      </w:r>
    </w:p>
    <w:p>
      <w:r>
        <w:rPr>
          <w:b/>
        </w:rPr>
        <w:t>E. 3.4</w:t>
      </w:r>
    </w:p>
    <w:p>
      <w:r>
        <w:t>Zusammenfassend sind mit der Vorinstanz die Voraussetzungen für eine revisionsweise Rentenerhöhung mangels rechtsgenügenden Nachweises des natürlichen Kausalzusammenhangs der psychischen Beschwerden mit dem Unfallereignis zu verneinen. Das in Aussicht gestellte Privatgutachten lässt unter den gegebenen Umständen keinen verlässlichen neuen Aufschluss erwarten, weshalb in antizipierter Beweiswürdigung vor Eingang desselben entschieden werden kann (vgl. auch Art. 99 Abs. 1 BGG ).</w:t>
      </w:r>
    </w:p>
    <w:p>
      <w:r>
        <w:rPr>
          <w:b/>
        </w:rPr>
        <w:t>E. 4</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