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8C_492/2015 vom 17. November 2015</w:t>
      </w:r>
    </w:p>
    <w:p>
      <w:r>
        <w:t>Bundesgericht, 2015-11-17, DE</w:t>
      </w:r>
    </w:p>
    <w:p>
      <w:r>
        <w:rPr>
          <w:b/>
        </w:rPr>
        <w:t xml:space="preserve">Quelle: </w:t>
      </w:r>
      <w:r>
        <w:t>https://mcp.opencaselaw.ch/entscheid/bger_8C_492_2015</w:t>
      </w:r>
    </w:p>
    <w:p>
      <w:r>
        <w:t>FR: TF 8C_492/2015 du 17 novembre 2015</w:t>
      </w:r>
    </w:p>
    <w:p>
      <w:r>
        <w:t>IT: TF 8C_492/2015 del 17 novembre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Der vom Beschwerdeführer aufgelegte Bericht des Spitals C.________ vom 13. Juli 2015, wonach neu eine rechts paramedian sequestrierte Diskushernie auf Höhe der Lendenwirbelkörper 4/5 erkannt werden konnte, stellt fraglos ein nach Art. 99 Abs. 1 BGG unzulässiges Beweismittel dar, das im vorliegenden Verfahren nicht berücksichtigt werden darf. Der Beschwerdeführer leitet denn auch zu Recht daraus keine Weiterungen ab.</w:t>
      </w:r>
    </w:p>
    <w:p>
      <w:r>
        <w:rPr>
          <w:b/>
        </w:rPr>
        <w:t>E. 2.1</w:t>
      </w:r>
    </w:p>
    <w:p>
      <w:r>
        <w:t>Gemäss Art. 16 ATSG wird für die Bestimmung des Invaliditäts-grades das Erwerbseinkommen, das die versicherte Person nach Eintritt der Invalidität (...)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mit Hinweisen).</w:t>
      </w:r>
    </w:p>
    <w:p>
      <w:r>
        <w:rPr>
          <w:b/>
        </w:rPr>
        <w:t>E. 2.2</w:t>
      </w:r>
    </w:p>
    <w:p>
      <w:r>
        <w:t>Nach der Rechtsprechung folgt aus der sozialversicherungsrechtlichen Schadenminderungspflicht ( BGE 123 V 233 E. 3c mit Hinweisen), dass eine versicherte Person unter Umständen so zu behandeln ist, wie wenn sie ihre Tätigkeit als selbständig Erwerbende aufgäbe; d.h. sie hat sich im Rahmen der Invaliditätsbemessung jene Einkünfte anrechnen zu lassen, welche sie bei Aufnahme einer leidensangepassten unselbständigen Erwerbstätigkeit zumutbarerweise verdienen könnte. Bei der Frage der Zumutbarkeit einer Aufgabe der selbständigen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I 11/00 E. 5a/bb; Urteil I 15/05 des Eidgenössischen Versicherungsgerichts [heute: Schweizerisches Bundesgericht] vom 18. Juli 2005 E. 6.1.2).</w:t>
      </w:r>
    </w:p>
    <w:p>
      <w:r>
        <w:rPr>
          <w:b/>
        </w:rPr>
        <w:t>E. 3.1</w:t>
      </w:r>
    </w:p>
    <w:p>
      <w:r>
        <w:t>Das kantonale Gericht hat festgestellt, dass der Versicherte über keine berufliche Ausbildung verfüge und bevor er 1997 sein eigenes Lebensmittelgeschäft eröffnet habe, sei er in der Landwirtschaft sowie im Baugewerbe arbeitstätig gewesen. Entgegen seiner Auffassung seien grundsätzlich auch Erwerbstätigkeiten ausserhalb des Detailhandels in Betracht zu ziehen. Gemäss Tabelle TA1, Total, Anforderungsniveau 4, Männer, der Schweizerischen Lohnstrukturerhebung (LSE) 2010 vermöchte der Versicherte - angepasst an die verbliebene Arbeitsfähigkeit von 60 %, die betriebsübliche wöchentliche Arbeitszeit und die Nominallohnentwicklung - bezogen auf das Jahr 2011 ein Einkommen von Fr. 35'640.05 zu erzielen. Dieser Lohn liege deutlich über dem ausweislich der Erfolgsrechnung des Jahres 2011 tatsächlich erwirtschafteten Verdienst von Fr. 14'400.- (Gewinn plus Sozialversicherungsbeiträge). Bei dieser Ausgangslage sei zu prüfen, ob dem Versicherten - wie die IV-Stelle annahm - die Aufgabe seines Lebensmittelgeschäfts zugunsten einer lukrativeren Tätigkeit als unselbständig Erwerbender zumutbar sei. Mit Jahrgang 1961 habe er noch eine beträchtliche Aktivitätsdauer vor sich, weshalb es ihm insgesamt betrachtet ohne Weiteres möglich sei, die verbliebene Arbeitsfähigkeit von 60 % auf dem allgemeinen Arbeitsmarkt zu verwerten. Da sowohl das Einkommen mindernde (leidensbedingte Einschränkungen) als auch erhöhende (Alter, Aufenthaltskategorie) Merkmale vorlägen, sei der geltend gemachte Abzug vom Tabellenlohn gemäss BGE 126 V 75 allenfalls im Umfang von 10 %, nicht aber von mindestens 20 % gerechtfertigt.</w:t>
      </w:r>
    </w:p>
    <w:p>
      <w:r>
        <w:rPr>
          <w:b/>
        </w:rPr>
        <w:t>E. 3.2.1</w:t>
      </w:r>
    </w:p>
    <w:p>
      <w:r>
        <w:t>Der Beschwerdeführer bestreitet nicht, dass das Lebensmittelgeschäft seit Eintritt des Gesundheitsschadens, was die körperlich belastenden Verrichtungen betraf, vor allem von seiner Ehefrau bewirtschaftet wurde. Damit räumt er implizit ein, dass er den Betrieb mit seiner eigenen Arbeitskraft nicht mehr aufrecht zu halten vermochte. Sein Einwand, keine selbständig erwerbende Person, die älter als 50 Jahre sei, würde ohne Not sein Geschäft aufgeben, trifft den entscheidenden Punkt nicht. Ausschlaggebend ist, wie die Vorinstanz richtig erwogen hat, dass er mit dem Lebensmittelgeschäft - auch in Berücksichtigung des erhöhten Arbeitseinsatzes der Ehefrau - kein Einkommen mehr zu erzielen vermochte, mit dem er seine wirtschaftliche Existenz sichern konnte. Daher war ihm zumutbar, die selbständige Erwerbstätigkeit zugunsten einer unselbständigen aufzugeben. Weiter hat die Vorinstanz zu Recht angenommen, dass der Versicherte auf dem ausgeglichenen (allgemeinen) Arbeitsmarkt (vgl. Art. 16 ATSG ; BGE 134 V 64 E. 4.2.1 S. 70 f.) Stellen angeboten würden, die dem von dipl. med. B.________ formulierten Anforderungsproil entsprächen (vgl. Untersuchungsbericht vom 13. Juni 2013). Der Beschwerdeführer übersieht, dass der bei der Festlegung des Invalideneinkommens zu unterstellende ausgeglichene Arbeitsmarkt gekennzeichnet ist durch ein gewisses Gleichgewicht zwischen Angebot und Nachfrage nach Arbeitskräften und er einen Fächer verschiedenster Tätigkeiten aufweist ( BGE 110 V 273 E. 4b S. 276). Den nicht zu beanstandenden Erwägungen im angefochtenen Entscheid hat das Bundesgericht im fraglichen Kontext nichts beizufügen.</w:t>
      </w:r>
    </w:p>
    <w:p>
      <w:r>
        <w:rPr>
          <w:b/>
        </w:rPr>
        <w:t>E. 3.2.2.1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w:t>
      </w:r>
    </w:p>
    <w:p>
      <w:r>
        <w:rPr>
          <w:b/>
        </w:rPr>
        <w:t>E. 3.2.2.2</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3.2.3</w:t>
      </w:r>
    </w:p>
    <w:p>
      <w:r>
        <w:t>Der Beschwerdeführer zeigt nicht auf, inwiefern die Vorinstanz, die auf die Verfügung der Verwaltung vom 23. Juni 2014 verwiesen hat, bei der Festsetzung der Höhe des Abzuges vom Tabellenlohn ein Merkmal oder einen bestimmten Aspekt eines Merkmals zu Unrecht nicht berücksichtigt hat. Das Vorbringen, dass er während Jahren nicht als Angestellter gearbeitet hatte, beschlägt das Kriterium der Dienstjahre, deren Bedeutung im privaten Sektor abnimmt, je niedriger das Anforderungsniveau ist ( BGE 126 V 75 E. 5a/cc S. 79; SVR 2015 IV Nr. 1 S. 1, 8C_97/2014 E. 4.2), weshalb dieser Aspekt hier nicht ins Gewicht fällt. Sodann mag zutreffen, dass sich die Merkmale des Lebensalters und der Aufenthaltskategorie - entgegen der von der IV-Stelle in der Verfügung vom 23. Juni 2014 vertretenen Auffassung - nicht einkommenserhöhend, indessen aber auch nicht -mindernd auswirken. Richtig festgehalten hatte die Verwaltung, dass die bescheidene Schulbildung und berufliche Qualifikation sowie die mangelhaften Sprachkenntnisse bereits durch die Verwendung der Tabellenlöhne im Anforderungsniveau 4 der LSE 2010 (einfache und repetitive Tätigkeiten) abgegolten würden (vgl. dazu SVR 2015 IV Nr. 1 S. 1, 8C_97/2014 E. 4.2). Schliesslich trifft zwar das Vorbringen des Beschwerdeführers zu, wonach praxisgemäss unter dem Titel Beschäftigungsgrad dem Umstand Rechnung zu tragen ist, dass bei Männern statistisch gesehen Teilzeitarbeit vergleichsweise weniger gut entlöhnt wird als eine Vollzeittätigkeit (vgl. dazu SVR 2011 IV Nr. 37 S. 109, 9C_721/2010 E. 4.2 in fine und E. 4.2.2 mit Hinweisen), indessen legt er nicht dar, inwiefern die Vorinstanz diesen Aspekt bei dem ermessensweise festzusetzenden Abzug gemäss BGE 126 V 75 vom Tabellenlohn in Missachtung des Willkürverbots unberücksichtigt gelassen haben soll.</w:t>
      </w:r>
    </w:p>
    <w:p>
      <w:r>
        <w:rPr>
          <w:b/>
        </w:rPr>
        <w:t>E. 3.2.4</w:t>
      </w:r>
    </w:p>
    <w:p>
      <w:r>
        <w:t>Wird das vom kantonalen Gericht ermittelte, vom Beschwerdeführer explizit anerkannte Valideneinkommen (Fr. 48'092.90) in Beziehung gesetzt zu dem um 10 % gemäss BGE 126 V 75 herabgesetzten Invalidenlohn (Fr. 32'076.-), resultiert ein Invaliditätsgrad von 33 %, der keinen Anspruch auf eine Invalidenrente begründet.</w:t>
      </w:r>
    </w:p>
    <w:p>
      <w:r>
        <w:rPr>
          <w:b/>
        </w:rPr>
        <w:t>E. 4</w:t>
      </w:r>
    </w:p>
    <w:p>
      <w:r>
        <w:t>Die Gerichtskosten sind dem Beschwerdeführer als unterliegender Partei aufzuerlegen ( Art. 66 Abs. 1 BGG ).</w:t>
      </w:r>
    </w:p>
    <w:p>
      <w:r>
        <w:rPr>
          <w:b/>
        </w:rPr>
        <w:t>E. 5</w:t>
      </w:r>
    </w:p>
    <w:p>
      <w:r>
        <w:t>Dem Gesuch um Gewährung der unentgeltlichen Rechtspflege ist zum einen stattzugeben, weil keine Anhaltspunkte bestehen, von der vom kantonalen Gericht angenommenen Bedürftigkeit des Versicherten abzuweichen. Zum anderen ist die Beschwerde an das Bundesgericht inhaltlich nicht als aussichtslos zu bezeichnen, weshalb die anwaltliche Vertretung geboten war ( Art. 64 Abs. 1 und 2 BGG ). Dem Beschwerdeführer wird daher eine angemessene Entschädigung zugesprochen ( Art. 64 Abs. 2 Satz 2 BGG ). 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