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8C_48/2012 vom 3. Dezember 2012</w:t>
      </w:r>
    </w:p>
    <w:p>
      <w:r>
        <w:t>Bundesgericht, 2012-12-03, DE</w:t>
      </w:r>
    </w:p>
    <w:p>
      <w:r>
        <w:rPr>
          <w:b/>
        </w:rPr>
        <w:t xml:space="preserve">Quelle: </w:t>
      </w:r>
      <w:r>
        <w:t>https://mcp.opencaselaw.ch/entscheid/bger_8C_48_2012</w:t>
      </w:r>
    </w:p>
    <w:p>
      <w:r>
        <w:t>FR: TF 8C_48/2012 du 3 décembre 2012</w:t>
      </w:r>
    </w:p>
    <w:p>
      <w:r>
        <w:t>IT: TF 8C_48/2012 del 3 dicembre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Nach ständiger Rechtsprechung begründen Alkoholismus, Medikamentenmissbrauch und Drogensucht an sich keine Invalidität.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(AHI 2002 S. 30, I 454/99 E. 2a; Urteil I 955/05 vom 6. November 2006 E. 3.1).</w:t>
      </w:r>
    </w:p>
    <w:p>
      <w:r>
        <w:rPr>
          <w:b/>
        </w:rPr>
        <w:t>E. 2.4</w:t>
      </w:r>
    </w:p>
    <w:p>
      <w:r>
        <w:t>Streitig und zu prüfen ist, ob das kantonale Gericht gegen Bundesrecht verstossen hat, als es einen Rentenanspruch der Versicherten verneint hat.</w:t>
      </w:r>
    </w:p>
    <w:p>
      <w:r>
        <w:rPr>
          <w:b/>
        </w:rPr>
        <w:t>E. 3.1</w:t>
      </w:r>
    </w:p>
    <w:p>
      <w:r>
        <w:t>Die Vorinstanz hat nach umfassender Würdigung der medizinischen Akten, insbesondere aber gestützt auf das Gutachten der MEDAS vom 27. Oktober 2009, für das Bundesgericht grundsätzlich verbindlich festgestellt, dass die Versicherte in der Lage wäre, ihre bisherige Tätigkeit als Rechtsanwältin mit einer um 20 % reduzierten Leistungsfähigkeit auszuüben. Was die Beschwerdeführerin gegen diese Feststellung vorbringt, vermag sie nicht als bundesrechtswidrig erscheinen zu lassen. Die Beauftragung einer MEDAS mit der Durchführung einer Begutachtung ist verfassungskonform und mit der EMRK vereinbar (vgl. BGE 137 V 210 E. 2.1 bis 2.3 S. 229 ff.). Mit dem erwähnten Urteil wurde zwar die Rechtsprechung bezüglich Gutachtensaufträge weiterentwickelt; dies bedeutet jedoch nicht, dass die nach altem Verfahrensstand eingeholten Gutachten per se ihre Beweiskraft verloren hätten (vgl. Urteil 8C_36/2012 vom 18. September 2012 E. 3.2). Entgegen den Vorbringen der Versicherten ist kein Widerspruch zwischen dem Hauptgutachten und den verschiedenen Teilgutachten oder zwischen den einzelnen Teilgutachten erkennbar. Im Gutachten wird zudem nachvollziehbar aufgezeigt, weshalb die Experten zu einer gegenüber der Einschätzung der Ärzte im interdisziplinären Gutachten des Instituts Y.________ vom 7. April 2006 abweichenden Ergebnis gekommen sind. Auch aus dem Gutachten des Dr. med. M.________ vom 11. Mai 2010 ergeben sich keine konkrete Indizien, welche gegen die Zuverlässigkeit (vgl. BGE 135 V 465 E. 4.4 S. 470) des MEDAS-Gutachtens sprechen würden. Festzuhalten ist in diesem Zusammenhang, dass sich Dr. M.________ nur am Rande mit der Arbeitsfähigkeit der Versicherten auseinandersetzt und lediglich pauschal und ohne nähere Begründung angibt, die Einschränkung sei "erheblich".</w:t>
      </w:r>
    </w:p>
    <w:p>
      <w:r>
        <w:rPr>
          <w:b/>
        </w:rPr>
        <w:t>E. 3.2</w:t>
      </w:r>
    </w:p>
    <w:p>
      <w:r>
        <w:t>Keine ausdrückliche Feststellung getroffen hat das kantonale Gericht zur Frage, ab wann die Einschätzung der Arbeitsfähigkeit gemäss dem MEDAS-Gutachten gilt. Die Gutachter selber können nach eigenen Angaben die vor dem Begutachtungszeitpunkt bescheinigten Arbeitsunfähigkeiten nicht nachvollziehen, sie gehen davon aus, die 80%ige Arbeitsfähigkeit als Juristin bestehe schon seit mehreren Jahren. Gleichzeitig führen sie indessen aus, die Versicherte habe seit dem Aufenthalt in der Rehaklinik im ersten Halbjahr 2003 für sicher viereinhalb Jahre unter Einfluss (bzw. in Abhängigkeit) von Medikamenten gestanden, welche geeignet seien, die kognitiven Fähigkeiten einzuschränken. Wenn sie gleichzeitig die bescheinigte Arbeitsunfähigkeit für nicht nachvollziehbar erachten, erscheint das Gutachten in dieser Hinsicht erklärungsbedürftig, was die Beschwerdeführerin zu Recht rügt. Ist die Abhängigkeit - wie von den Gutachtern ausgeführt - tatsächlich iatrogen verursacht, mithin mittelbare Folge eines Gesundheitsschadens, so könnten die Auswirkungen der Sucht entgegen dem Regelfall auch invalidenversicherungsrechtlich relevant sein (vgl. auch E. 2.3 hievor). Es bestehen demnach zumindest Hinweise auf einen - zwar vorübergehenden, aber doch Jahre andauernden - invalidenversicherungsrechtlich relevanten Gesundheitsschaden, welcher allenfalls einen Anspruch auf eine befristete Rente ausgelöst haben könnte. Aufgrund der vorliegenden medizinischen Akten ist jedoch ein abschliessendes Urteil hiezu nicht möglich. Die Beschwerde ist demnach in dem Sinne gutzuheissen, als der kantonale Entscheid aufzuheben und die Sache an das kantonale Gericht zurückzuweisen ist, damit dieses mittels eines Zusatzgutachtens bei der MEDAS kläre, ob und allenfalls wie lange eine invalidenver sicherungsrechtlich relevante höhere Einschränkung in der Arbeits- und Erwerbsfähigkeit vorgelegen hat. Das kantonale Gericht wird hernach über die Beschwerde der Versicherten neu zu entscheiden haben.</w:t>
      </w:r>
    </w:p>
    <w:p>
      <w:r>
        <w:rPr>
          <w:b/>
        </w:rPr>
        <w:t>E. 4</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86 Abs. 1 sowie Art. 68 Abs. 1 und 2 BGG , unabhängig davon, ob sie überhaupt beantragt, oder ob das entsprechende Begehren im Haupt- oder Eventualantrag gestellt wird. Entsprechend dem Ausgang des Verfahrens sind die Gerichtskosten daher der unterliegenden Beschwerdegegnerin aufzuerlegen. Die IV-Stelle hat der Beschwerdeführerin überdies eine Parteientschädigung zu bezahlen ( Art. 68 Abs. 1 und 2 BGG ). Damit wird das Gesuch um unentgeltliche Rechtspflege der Beschwerdeführerin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