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8C_48/2009 vom 28. April 2009</w:t>
      </w:r>
    </w:p>
    <w:p>
      <w:r>
        <w:t>Bundesgericht, 2009-04-28, FR</w:t>
      </w:r>
    </w:p>
    <w:p>
      <w:r>
        <w:rPr>
          <w:b/>
        </w:rPr>
        <w:t xml:space="preserve">Quelle: </w:t>
      </w:r>
      <w:r>
        <w:t>https://mcp.opencaselaw.ch/entscheid/bger_8C_48_2009</w:t>
      </w:r>
    </w:p>
    <w:p>
      <w:r>
        <w:t>FR: TF 8C_48/2009 du 28 avril 2009</w:t>
      </w:r>
    </w:p>
    <w:p>
      <w:r>
        <w:t>IT: TF 8C_48/2009 del 28 aprile 2009</w:t>
      </w:r>
    </w:p>
    <w:p>
      <w:pPr>
        <w:pStyle w:val="Heading2"/>
      </w:pPr>
      <w:r>
        <w:t>Erwägungen</w:t>
      </w:r>
    </w:p>
    <w:p>
      <w:r>
        <w:rPr>
          <w:b/>
        </w:rPr>
        <w:t>E. 1</w:t>
      </w:r>
    </w:p>
    <w:p>
      <w:r>
        <w:t>Bien que le dispositif du jugement cantonal renvoie la cause à l'office AI, il ne s'agit pas d'une décision incidente au sens de l' art. 93 LTF car la juridiction cantonale a statué définitivement sur le droit à la rente de l'intimé, le renvoi de la cause ne visant que le calcul de la prestation. Le recours est dès lors recevable dans la mesure où il est dirigé contre un jugement final (cf. art. 90 LTF ).</w:t>
      </w:r>
    </w:p>
    <w:p>
      <w:r>
        <w:rPr>
          <w:b/>
        </w:rPr>
        <w:t>E. 2</w:t>
      </w:r>
    </w:p>
    <w:p>
      <w:r>
        <w:t>Le recours peut être interjeté pour violation du droit, tel qu'il est délimité par les art. 95 et 96 LTF . Le Tribunal fédéral applique le droit d'office ( art. 106 al. 1 LTF ). Il statue par ailleurs sur la base des faits établis par l'autorité précédente ( art. 105 al. 1 LTF ), sous réserve des cas prévus à l' art. 105 al. 2 LTF .</w:t>
      </w:r>
    </w:p>
    <w:p>
      <w:r>
        <w:rPr>
          <w:b/>
        </w:rPr>
        <w:t>E. 3.1</w:t>
      </w:r>
    </w:p>
    <w:p>
      <w:r>
        <w:t>En bref, la juridiction cantonale a constaté que l'assuré avait été incapable de travailler à 100% du 1er juillet au 31 décembre 2002 ainsi qu'à 50% du 1er janvier 2003 au 31 mars 2004 et qu'il avait par la suite recouvré une capacité de travail entière. Elle a fixé au 1er juillet 2003 l'échéance du délai de carence d'une année selon l' art. 29 al. 1 let. b LAI (dans sa teneur en vigueur jusqu'au 31 décembre 2007), et reconnu à l'assuré le droit à une rente d'invalidité, fondée sur une incapacité de gain de 50%, du 1er juillet 2003 au 30 juin 2004 (compte tenu du délai de trois mois prévu à l' art. 88a RAI ).</w:t>
      </w:r>
    </w:p>
    <w:p>
      <w:r>
        <w:rPr>
          <w:b/>
        </w:rPr>
        <w:t>E. 3.2</w:t>
      </w:r>
    </w:p>
    <w:p>
      <w:r>
        <w:t>L'office recourant estime que les premiers juges ont violé le droit fédéral en reconnaissant à l'assuré le droit à une rente d'invalidité. En effet, celui-ci avait déposé sa demande AI le 17 février 2007 [recte : 20 mars 2007], si bien que des prestations ne pouvaient éventuellement lui être allouées rétroactivement qu'à partir du 17 février 2006 [recte : 20 mars 2006], conformément à l'ancien art. 48 al. 2 LAI (en vigueur jusqu'au 31 décembre 2007). Par ailleurs, d'après le nouveau droit (5ème révision de la LAI) abrogeant l' art. 48 LAI , il n'était plus prévu de verser de prestations arriérées.</w:t>
      </w:r>
    </w:p>
    <w:p>
      <w:r>
        <w:rPr>
          <w:b/>
        </w:rPr>
        <w:t>E. 4</w:t>
      </w:r>
    </w:p>
    <w:p>
      <w:r>
        <w:t>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 ATF 130 V 446 consid. 1.2.1; 129 V 4 consid. 1.2). Il est établi au dossier que la demande de prestations de l'assurance-invalidité de l'intimé date du 20 mars 2007. Aussi, son droit éventuel à une rente doit-il être examiné à la lumière des dispositions de la LAI en vigueur jusqu'au 31 décembre 2007.</w:t>
      </w:r>
    </w:p>
    <w:p>
      <w:r>
        <w:rPr>
          <w:b/>
        </w:rPr>
        <w:t>E. 5.1</w:t>
      </w:r>
    </w:p>
    <w:p>
      <w:r>
        <w:t>Aux termes de l' art. 48 LAI (dans sa version en vigueur au moment déterminant), le droit à des prestations arriérées est régi par l'art. 24, al. 1, LPGA (al. 1). Si l'assuré présente sa demande plus de douze mois après la naissance du droit, les prestations, en dérogation à l'art. 24, al. 1, LPGA, ne sont allouées que pour les douze mois précédent le dépôt de la demande. Elles sont allouées pour une période antérieure si l'assuré ne pouvait pas connaître les faits donnant droit à prestation et qu'il présente sa demande dans les douze mois dès le moment où il en a eu connaissance (al. 2).</w:t>
      </w:r>
    </w:p>
    <w:p>
      <w:r>
        <w:rPr>
          <w:b/>
        </w:rPr>
        <w:t>E. 5.2</w:t>
      </w:r>
    </w:p>
    <w:p>
      <w:r>
        <w:t>Selon la jurisprudence, l'art. 48 al. 2 seconde phrase LAI s'applique lorsque l'assuré ne savait pas et ne pouvait pas savoir qu'il était atteint, en raison d'une atteinte à la santé physique ou mentale, d'une diminution de la capacité de gain dans une mesure propre à lui ouvrir le droit à des prestations. Cette disposition ne concerne en revanche pas les cas où l'assuré connaissait ces faits mais ignorait qu'ils donnent droit à une rente de l'assurance-invalidité ( ATF 102 V 112 consid. 1a p. 113). Autrement dit, «les faits donnant droit à des prestations (que) l'assuré ne pouvait pas connaître», sont ceux qui n'étaient objectivement pas reconnaissables, mais non ceux dont l'assuré ne pouvait subjectivement pas saisir la portée ( ATF 100 V 114 consid. 2c p. 119 sv.).</w:t>
      </w:r>
    </w:p>
    <w:p>
      <w:r>
        <w:rPr>
          <w:b/>
        </w:rPr>
        <w:t>E. 5.3</w:t>
      </w:r>
    </w:p>
    <w:p>
      <w:r>
        <w:t>Il n'existe en l'espèce aucun indice donnant à penser que les atteintes de l'intimé empêchaient celui-ci de connaître son état de santé et les conséquences sur sa capacité de gain. Il ne le fait, d'ailleurs, pas valoir. On doit dès lors retenir qu'il connaissait les faits donnant droit à des prestations. Comme il s'est annoncé à l'assurance-invalidité (cf. 29 al. 1 LPGA) seulement le 20 mars 2007, il s'ensuit qu'il ne peut prétendre aucune prestation pour la période antérieure au 20 mars 2006. Le recours se révèle ainsi manifestement bien fondé ( art. 109 al. 2 let. b LTF ).</w:t>
      </w:r>
    </w:p>
    <w:p>
      <w:r>
        <w:rPr>
          <w:b/>
        </w:rPr>
        <w:t>E. 6</w:t>
      </w:r>
    </w:p>
    <w:p>
      <w:r>
        <w:t>Il convient exceptionnellement de renoncer à percevoir des frais de justice à la charge de l'intimé pour la procédure fédérale ( art. 66 al. 1 LTF ; cf. THOMAS GEISER, in Basler Kommentar, Bundesgerichtsgesetz, 2008, ad art. 66 LTF , no 17 p. 582).</w:t>
      </w:r>
    </w:p>
    <w:p>
      <w:r>
        <w:t>Selon l' art. 67 LTF , si le Tribunal fédéral modifie la décision attaquée, il peut répartir autrement les frais de la procédure antérieure. En l'occurrence, il se justifie, par souci d'économie de procédure, de mettre directement les frais de la procédure cantonale, par 200 fr.,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