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8C_48/2008 vom 16. Mai 2008</w:t>
      </w:r>
    </w:p>
    <w:p>
      <w:r>
        <w:t>Bundesgericht, 2008-05-16, FR</w:t>
      </w:r>
    </w:p>
    <w:p>
      <w:r>
        <w:rPr>
          <w:b/>
        </w:rPr>
        <w:t xml:space="preserve">Quelle: </w:t>
      </w:r>
      <w:r>
        <w:t>https://mcp.opencaselaw.ch/entscheid/bger_8C_48_2008</w:t>
      </w:r>
    </w:p>
    <w:p>
      <w:r>
        <w:t>FR: TF 8C_48/2008 du 16 mai 2008</w:t>
      </w:r>
    </w:p>
    <w:p>
      <w:r>
        <w:t>IT: TF 8C_48/2008 del 16 maggio 2008</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Selon l' art 106 al. 1 LTF , le Tribunal fédéral applique le droit d'office et n'est donc pas limité par les arguments du recourant, ni par la motivation de l'autorité précédente. En outre, il ne peut aller au-delà des conclusions des parties ( art. 107 al. 1 LTF ).</w:t>
      </w:r>
    </w:p>
    <w:p>
      <w:r>
        <w:rPr>
          <w:b/>
        </w:rPr>
        <w:t>E. 2</w:t>
      </w:r>
    </w:p>
    <w:p>
      <w:r>
        <w:t>Le litige porte sur le point de savoir si le recourant a droit à la prise en charge, par l'assurance-chômage, de sa formation de chauffeur de taxi.</w:t>
      </w:r>
    </w:p>
    <w:p>
      <w:r>
        <w:rPr>
          <w:b/>
        </w:rPr>
        <w:t>E. 3.1</w:t>
      </w:r>
    </w:p>
    <w:p>
      <w:r>
        <w:t>Selon l' art. 1a al. 2 LACI , la loi sur l'assurance-chômage obligatoire et l'indemnité en cas d'insolvabilité (LACI) vise à prévenir le chômage imminent, à combattre le chômage existant et à favoriser l'intégration rapide et durable des assurés dans le marché du travail. Tel est le but des mesures relatives au marché du travail régies aux art. 59 ss LACI .</w:t>
      </w:r>
    </w:p>
    <w:p>
      <w:r>
        <w:t>Aux termes de l' art. 59 al. 1 LACI , l'assurance alloue des prestations financières au titre des mesures relatives au marché du travail en faveur des assurés et des personnes menacées de chômage. Parmi les mesures relatives au marché du travail figurent les mesures de formation, notamment les cours individuels ou collectifs de reconversion, de perfectionnement ou d'intégration, la participation à des entreprises d'entraînement et les stages de formation ( art. 60 al. 1 LACI ). L' art. 59 al. 2 LACI fixe les critères auxquels doivent répondre les mesures relatives au marché du travail. De manière générale, celles-ci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rPr>
          <w:b/>
        </w:rPr>
        <w:t>E. 3.2</w:t>
      </w:r>
    </w:p>
    <w:p>
      <w:r>
        <w:t>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 art. 59 al. 2 LACI ,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w:t>
      </w:r>
    </w:p>
    <w:p>
      <w:r>
        <w:t>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w:t>
      </w:r>
    </w:p>
    <w:p>
      <w:r>
        <w:rPr>
          <w:b/>
        </w:rPr>
        <w:t>E. 4.1</w:t>
      </w:r>
    </w:p>
    <w:p>
      <w:r>
        <w:t>La juridiction cantonale a considéré que le placement du recourant n'était pas difficile pour des raisons inhérentes au marché de l'emploi et que la mesure sollicitée n'était pas de nature à augmenter de manière significative son aptitude au placement. Elle a nié l'existence d'une difficulté de placement de l'intéressé dans des activités de chauffeur de limousine ou de minibus, compte tenu notamment de son âge, de son expérience professionnelle et de ses connaissances professionnelles et linguistiques. En effet, l'assuré est titulaire de permis de conduire professionnels des sous-catégories C1 et D1. Par ailleurs, selon le tribunal cantonal, le marché de l'emploi dans ces domaines n'apparaissait pas défavorable au regard du nombre restreint des recherches d'emploi restées infructueuses et de la durée relativement brève du chômage au moment du dépôt de la demande. A ce moment-là, en effet, le recourant était au chômage depuis trois mois seulement, période durant laquelle il avait subi d'ailleurs une incapacité de travail d'un mois environ (du 7 août au 5 septembre 2006). En l'absence d'une difficulté de placement, la juridiction cantonale a laissé indécis le point de savoir si la mesure requise était de nature à améliorer l'aptitude au placement de l'intéressé, au regard de la situation du marché dans le secteur des taxis à Z.________.</w:t>
      </w:r>
    </w:p>
    <w:p>
      <w:r>
        <w:t>De son côté, le recourant allègue que s'il a souhaité effectivement très tôt la prise en charge du cours de formation, il est finalement resté au chômage pendant près d'une année, sans trouver une seule possibilité d'emploi, en particulier, dans la profession de chauffeur de limousines et de minibus. Selon lui, la formation en cause était dictée par les exigences du marché du travail, la mesure sollicitée ayant été manifestement de nature à augmenter de manière significative son aptitude au placement. Au sujet de l'éventuelle saturation dans le secteur des taxis à Z.________, il relève que le simple fait qu'il puisse exercer depuis le mois de juillet 2007 l'activité de chauffeur de taxi indépendant démontre précisément l'absence d'une telle saturation.</w:t>
      </w:r>
    </w:p>
    <w:p>
      <w:r>
        <w:rPr>
          <w:b/>
        </w:rPr>
        <w:t>E. 4.2</w:t>
      </w:r>
    </w:p>
    <w:p>
      <w:r>
        <w:t>Les allégations du recourant ne permettent pas de s'écarter du point de vue des premiers juges, selon lequel son placement n'était pas difficile pour des raisons inhérentes au marché de l'emploi. En particulier, la durée du chômage ne laisse pas présumer à elle seule une difficulté de placement de l'intéressé dans des activités de chauffeur de limousines ou de minibus, du moment que l'intéressé n'indique pas quelles ont été ses démarches pour retrouver un tel emploi. Or, il incombe en principe à la personne qui entend en déduire un droit d'apporter les preuves commandées par la nature du litige ( ATF 125 V 193 consid. 2 p. 195 et les références). Sur le vu des constatations de fait de la juridiction cantonale, qui lient la Cour de céans (cf. consid. 1), il apparaît bien plutôt que l'assuré était en mesure de faire valoir son expérience et ses connaissances professionnelles dans l'activité exercée avant le chômage.</w:t>
      </w:r>
    </w:p>
    <w:p>
      <w:r>
        <w:t>Au demeurant, quand bien même l'assuré a obtenu la promesse d'engagement de la société Y.________ SA, celle-ci ne lui assurait un emploi que dans la mesure de ses disponibilités. Or,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 art. 59 LACI (DTA 1988 n°4 p. 30 consid. 1c, 1987 n°12 p. 111 consid. 2c, et les références).</w:t>
      </w:r>
    </w:p>
    <w:p>
      <w:r>
        <w:t>Cela étant, il n'y a pas de raison d'admettre que la mesure requise était susceptible d'améliorer l'aptitude au placement.</w:t>
      </w:r>
    </w:p>
    <w:p>
      <w:r>
        <w:t>Vu ce qui précède, les conditions du droit à la prise en charge de la formation requise ne sont pas réalisées.</w:t>
      </w:r>
    </w:p>
    <w:p>
      <w:r>
        <w:rPr>
          <w:b/>
        </w:rPr>
        <w:t>E. 5</w:t>
      </w:r>
    </w:p>
    <w:p>
      <w:r>
        <w:t>Le recourant invoque le cas d'un autre assuré, âgé de 35 ans, sans formation particulière et au chômage depuis six mois lors du dépôt de sa demande, qui a obtenu de l'assurance-chômage la prise en charge d'une formation comparable à la sienne. Ce faisant, il se plaint d'une inégalité de traitement.</w:t>
      </w:r>
    </w:p>
    <w:p>
      <w:r>
        <w:t>Le principe de l'égalité de traitement, consacré à l' art. 8 al. 1 Cst. , commande que le juge traite de la même manière des situations semblables et de manière différente des situations dissemblables ( ATF 131 V 107 consid. 3.4.2 p. 114 et les arrêts cités). Toutefois selon la jurisprudence, le principe de la légalité de l'activité administrative prévaut sur celui de l'égalité de traitement. Par conséquent, le justifiable ne peut généralement pas invoquer une inégalité devant la loi, lorsque celle-ci est correctement appliquée à son cas, alors qu'elle aurait été faussement, voire pas appliquée du tout, dans d'autres cas (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 ATF 126 V 390 consid. 6a p. 392, 116 V 231 consid. 4b p. 238, 115 Ia 81 consid. 2 p. 82 s. et les références citées).</w:t>
      </w:r>
    </w:p>
    <w:p>
      <w:r>
        <w:t>Les possibilités de placement d'un assuré peuvent être influencées par de nombreux facteurs personnels ou professionnels et rien n'indique, en l'espèce, que la situation de l'assuré qui a obtenu la mesure requise est comparable à celle du recourant, en dépit de certaines ressemblances. Au demeurant, rien ne permet d'admettre que l'autorité administrative en question entend persévérer dans une pratique qui serait éventuellement contraire à la loi. Cela étant, le recourant ne peut pas se prévaloir d'une inégalité de traitement.</w:t>
      </w:r>
    </w:p>
    <w:p>
      <w:r>
        <w:rPr>
          <w:b/>
        </w:rPr>
        <w:t>E. 6</w:t>
      </w:r>
    </w:p>
    <w:p>
      <w:r>
        <w:t>Vu ce qui précède, l'OCE était fondé, par sa décision sur opposition du 23 mars 2007, à nier le droit de l'intéressé à la prise en charge de la mesure requise. Le jugement entrepris n'est dès lors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