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489/2019 vom 7. Oktober 2019</w:t>
      </w:r>
    </w:p>
    <w:p>
      <w:r>
        <w:t>Bundesgericht, 2019-10-07, DE</w:t>
      </w:r>
    </w:p>
    <w:p>
      <w:r>
        <w:rPr>
          <w:b/>
        </w:rPr>
        <w:t xml:space="preserve">Quelle: </w:t>
      </w:r>
      <w:r>
        <w:t>https://mcp.opencaselaw.ch/entscheid/bger_8C_489_2019</w:t>
      </w:r>
    </w:p>
    <w:p>
      <w:r>
        <w:t>FR: TF 8C 489/2019 du 7 octobre 2019</w:t>
      </w:r>
    </w:p>
    <w:p>
      <w:r>
        <w:t>IT: TF 8C 489/2019 del 7 ottobre 2019</w:t>
      </w:r>
    </w:p>
    <w:p>
      <w:pPr>
        <w:pStyle w:val="Heading2"/>
      </w:pPr>
      <w:r>
        <w:t>Regeste</w:t>
      </w:r>
    </w:p>
    <w:p>
      <w:r>
        <w:t>Unfallversicherung (Prozessvoraussetzung) | Unfallversicherung</w:t>
      </w:r>
    </w:p>
    <w:p>
      <w:pPr>
        <w:pStyle w:val="Heading2"/>
      </w:pPr>
      <w:r>
        <w:t>Volltext</w:t>
      </w:r>
    </w:p>
    <w:p>
      <w:r>
        <w:t>Bundesgericht III. Öffentlich-rechtliche Abteilung 07.10.2019 8C 489/2019 (8C_489/2019) Tribunal fédéral IIIe Cour de droit public (Ire Cour de droit social) 07.10.2019 8C 489/2019 (8C_489/2019) Tribunale federale III Corte di diritto pubblico (I Corte di diritto sociale) 07.10.2019 8C 489/2019 (8C_489/2019)</w:t>
      </w:r>
    </w:p>
    <w:p>
      <w:r>
        <w:t>Unfallversicherung (Prozessvoraussetzung) | Unfallversicherung</w:t>
      </w:r>
    </w:p>
    <w:p>
      <w:r>
        <w:t>Bundesgericht Tribunal fédéral Tribunale federale Tribunal federal 8C_489/2019 Urteil vom 7. Oktober 2019 I. sozialrechtliche Abteilung Besetzung Bundesrichter Maillard, Präsident, Gerichtsschreiber Grünvogel. Verfahrensbeteiligte A.________, vertreten durch Movimentos - Deine Gewerkschaft, Beschwerdeführer, gegen Schweizerische Unfallversicherungsanstalt (Suva), Fluhmattstrasse 1, 6004 Luzern, Beschwerdegegnerin. Gegenstand Unfallversicherung (Prozessvoraussetzung), Beschwerde gegen den Entscheid des Kantonsgerichts Freiburg vom 27. Juni 2019 (605 2018 243). Nach Einsicht in die Beschwerde vom 31. Juli 2019 (Poststempel) gegen den, der Vertretung von A.________ erstmals am 8. Juli 2019 erfolglos gegen Unterschrift zugestellten Entscheid des Kantonsgerichts Freiburg vom 27. Juni 2019, in die Mitteilung des Bundesgerichts vom 6. August 2019 an die Vertretung von A.________, worin auf die gesetzlichen Formerfordernisse von Beschwerden hinsichtlich Begehren und Begründung sowie auf die nur innert der Rechtsmittelfrist noch bestehende Verbesserungsmöglichkeit hingewiesen worden ist, in Erwägung, dass eine gegen Unterschrift des Adressaten oder der Adressatin überbrachte Mitteilung als spätestes am siebten Tag nach dem ersten erfolglosen Zustellungsversuch als eröffnet gilt ( Art. 44 Abs. 2 BGG ), dass daher die 30-tägige Rechtsmittelfrist in Berücksichtigung der vom 15. Juli bis und mit dem 15. August 2019 dauernden Gerichtsferien am 16. September 2019 abgelaufen ist (Art. 44 - 48 in Verbindung mit Art. 100 Abs. 1 BGG ), dass innert dieser Frist keine weitere Eingabe erfolgt ist,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sie in Auseinandersetzung mit den Parteivorbringen und in Würdigung der Akten zur Überzeugung gelangte, die Suva habe ihre Leistungen per 20. April 2018 einstellen dürfen, dass es dabei insbesondere näher ausführte, weshalb nicht davon ausgegangen werden könne, dass sich der Beschwerdeführer beim Unfall vom 23. Januar 2018 eine Partialruptur der Supraspinatussehne zugezogen habe; ausgewiesen sei allein eine Schulterkontusion, welche spätestens nach acht Wochen als ausgeheilt zu gelten habe, dass der Beschwerdeführer dies zwar kritisiert, ohne indessen konkret aufzuzeigen, inwiefern die von der Vorinstanz dabei getroffenen Sachverhaltsfeststellungen konkret unzutreffend und die darauf beruhenden Erwägungen rechtsfehlerhaft sein sollen; lediglich Arztberichte anzurufen, welche die Beschwerden mit einer Partialruptur in Verbindung bringen, reicht genau so wenig aus wie darauf hinzuweisen, vor dem Unfallereignis beschwerdefrei gewesen zu sein,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Kantonsgericht Freiburg und dem Bundesamt für Gesundheit schriftlich mitgeteilt. Luzern, 7. Oktober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