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8C_489/2007 vom 28. Dezember 2007</w:t>
      </w:r>
    </w:p>
    <w:p>
      <w:r>
        <w:t>Bundesgericht, 2007-12-28, DE</w:t>
      </w:r>
    </w:p>
    <w:p>
      <w:r>
        <w:rPr>
          <w:b/>
        </w:rPr>
        <w:t xml:space="preserve">Quelle: </w:t>
      </w:r>
      <w:r>
        <w:t>https://mcp.opencaselaw.ch/entscheid/bger_8C_489_2007</w:t>
      </w:r>
    </w:p>
    <w:p>
      <w:r>
        <w:t>FR: TF 8C_489/2007 du 28 décembre 2007</w:t>
      </w:r>
    </w:p>
    <w:p>
      <w:r>
        <w:t>IT: TF 8C_489/2007 del 28 dicembre 2007</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Hinsichtlich der massgebenden Regeln für die Invaliditätsbemessung bei erwerbstätigen, nichterwerbstätigen und teilerwerbstätigen Personen, die im Haushalt tätig sind ( Art. 16 ATSG , Art. 28 Abs. 2bis und 2ter IVG , Art. 27 und 27bis IVV ), kann mit der Vorinstanz auf die zutreffenden Ausführungen im Einspracheentscheid vom 29. August 2005 verwiesen werden (vgl. auch BGE 131 V 51 E. 5 S. 52, 125 V 146 E. 2 S. 149 f.). Richtig sind auch die vorinstanzlichen Ausführungen zu den Grundsätzen der Beweiswürdigung und zum Beweiswert ärztlicher Berichte und Gutachten ( BGE 125 V 351 E. 3a S. 352, 122 V 157 E. 1c S. 160), worauf ebenfalls verwiesen werden kann.</w:t>
      </w:r>
    </w:p>
    <w:p>
      <w:r>
        <w:rPr>
          <w:b/>
        </w:rPr>
        <w:t>E. 3.1</w:t>
      </w:r>
    </w:p>
    <w:p>
      <w:r>
        <w:t>Im vorliegenden Fall ist unbestritten, dass die Invalidität nach der für teilerwerbstätige Personen, die im Haushalt tätig sind, massgebenden gemischten Methode zu bemessen ist und der Anteil der Erwerbstätigkeit sowie der Tätigkeit im Haushalt auf je 50% festzusetzen ist. Unbestritten ist sodann, dass die Beschwerdeführerin im Aufgabenbereich als Hausfrau zu 45% eingeschränkt ist. Streitig ist, wie es sich hinsichtlich der Beeinträchtigung im erwerblichen Bereich verhält.</w:t>
      </w:r>
    </w:p>
    <w:p>
      <w:r>
        <w:rPr>
          <w:b/>
        </w:rPr>
        <w:t>E. 3.2</w:t>
      </w:r>
    </w:p>
    <w:p>
      <w:r>
        <w:t>Im Einspracheentscheid vom 29. August 2005 ist die Verwaltung von einer Restarbeitsfähigkeit in einer geeigneten leichteren Tätigkeit von 50% ausgegangen und hat im Hinblick auf die bisherige Teilerwerbstätigkeit von 50% eine Erwerbseinbusse verneint. Demgegenüber ist die Vorinstanz zum Schluss gelangt, dass die Beschwerdeführerin im erwerblichen Bereich lediglich zu einer täglichen Arbeitsleistung von 50% bezogen auf ihr Arbeitspensum von 50% am bisherigen Arbeitsplatz fähig ist. Es besteht kein Anlass, von diesen auf einer eingehenden Würdigung der medizinischen Akten beruhenden und für das Bundesgericht im Rahmen von Art. 105 Abs. 2 BGG verbindlichen Feststellungen des kantonalen Gerichts ( BGE 132 V 393 E. 3.2 S. 397 f.) abzugehen. Sie sind von der Verwaltung denn auch unbestritten geblieben.</w:t>
      </w:r>
    </w:p>
    <w:p>
      <w:r>
        <w:rPr>
          <w:b/>
        </w:rPr>
        <w:t>E. 3.3</w:t>
      </w:r>
    </w:p>
    <w:p>
      <w:r>
        <w:t>Die Versicherte macht geltend, gemäss ärztlicher Feststellung seien ihr lediglich leichte Tätigkeiten zu einem Pensum von maximal 2 bis 2 ½ Stunden täglich zumutbar und es sei aufgrund der ärztlichen Berichte und Gutachten von einer Beeinträchtigung der Erwerbsfähigkeit von 75% auszugehen. Sie übersieht damit, dass sie bei der Invaliditätsbemessung zu 50% als Erwerbstätige und zu 50% als Hausfrau zu qualifizieren ist und die Invalidität als Teilerwerbstätige bezogen auf die (tatsächlich oder hypothetisch ausgeübte) Teilerwerbstätigkeit zu ermitteln ist ( BGE 125 V 146 E. 5b S. 155). Die nach ärztlicher Auffassung zumutbare Erwerbstätigkeit von 2 bis 2 ½ Stunden täglich entspricht daher einer Einbusse im erwerblichen Bereich von 50%.</w:t>
      </w:r>
    </w:p>
    <w:p>
      <w:r>
        <w:rPr>
          <w:b/>
        </w:rPr>
        <w:t>E. 4.1</w:t>
      </w:r>
    </w:p>
    <w:p>
      <w:r>
        <w:t>Die Beschwerdeführerin bringt des Weiteren vor, die Restarbeitsfähigkeit von 25% lasse sich auf dem allgemeinen ausgeglichenen Arbeitsmarkt nicht verwerten, weshalb von einer vollen Erwerbsunfähigkeit auszugehen sei. Dazu ist festzustellen, dass die Versicherte im Anschluss an den Unfall während rund zwei Jahren zu einem reduzierten Pensum von etwa 25% am bisherigen Arbeitsplatz tätig gewesen ist. Zwar ist ihr das Arbeitsverhältnis von der Arbeitgeberin auf den 31. Mai 2003 gekündigt worden. Es erscheint indessen keineswegs als ausgeschlossen, dass die noch verhältnismässig junge Beschwerdeführerin bei ausgeglichener Arbeitsmarktlage einen geeigneten anderen Arbeitsplatz zu finden vermöchte. Gerade bei einfacheren Tätigkeiten insbesondere im Dienstleistungssektor stellen Anstellungen zu einem Beschäftigungsgrad von weniger als 30% nichts Aussergewöhnliches dar (vgl. die vom Bundesamt für Statistik [BFS] herausgegebene Schweizerische Lohnstrukturerhebung [LSE] 2004, S. 84 Tabelle TB7). Wenn die Vorinstanz stillschweigend davon ausgegangen ist, dass die Restarbeitsfähigkeit auf dem allgemeinen ausgeglichenen Arbeitsmarkt verwertbar ist, so beruht dies weder auf einer mangelhaften Feststellung des Sachverhalts noch verstösst es sonst wie gegen Bundesrecht. Denn es kann nicht gesagt werden, dass der Versicherten eine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(ZAK 1991 S. 318 E. 3b, 1989 S. 319 E. 4a). Zu einer anderen Beurteilung gibt auch die von der Beschwerdeführerin erwähnte Rechtsprechung zum Haftpflichtrecht (Urteil 4C.222/2004 vom 14. September 2004, auszugsweise publ. in BGE 131 III 12 ff.) nicht Anlass. In jenem Fall hatte das kantonale Gericht zwar entschieden, dass eine restliche Arbeitsfähigkeit im beruflichen Bereich von 30% nicht mehr verwertbar sei, weshalb von einer vollen Erwerbsunfähigkeit auszugehen sei. Das Bundesgericht hat sich mit dieser Frage indessen nicht näher befasst. Im Übrigen rechtfertigt es sich im Hinblick auf die allgemeine Schadenminderungspflicht ( BGE 113 V 22 E. 4a S. 28) durchaus, im Sozialversicherungsrecht einen strengeren Massstab anzulegen.</w:t>
      </w:r>
    </w:p>
    <w:p>
      <w:r>
        <w:rPr>
          <w:b/>
        </w:rPr>
        <w:t>E. 4.2</w:t>
      </w:r>
    </w:p>
    <w:p>
      <w:r>
        <w:t>Der Beschwerdeführerin kann schliesslich auch insoweit nicht gefolgt werden, als sie den von Verwaltung und Vorinstanz vorgenommenen Prozentvergleich beanstandet und geltend macht, es sei ein Einkommensvergleich anhand von Tabellenlöhnen vorzunehmen. Im Hinblick darauf, dass die Versicherte in der bisherigen Tätigkeit als Büroangestellte hinreichend eingegliedert war und anzunehmen ist, dass sie auch an einem geeigneten anderen Arbeitsplatz in der Lage wäre, ein vergleichbares Einkommen zu erzielen, erübrigt sich ein ziffernmässiger Einkommensvergleich und es kann davon ausgegangen werden, dass die Beschwerdeführerin entsprechend ihrer Arbeitsunfähigkeit von 50% die Hälfte des früheren Verdienstes zu erzielen vermag (zur Zulässigkeit des Prozentvergleichs vgl. BGE 114 V 310 E. 3a S. 312, 104 V 135 E. 2b S. 137). Bei einer invaliditätsbedingten Einschränkung im Erwerbsbereich von 50% und im Haushaltsbereich von 45% (E. 3.1 hievor) resultiert somit basierend auf der gemischten Methode angesichts der je 50%igen Tätigkeitsanteile ein Invaliditätsgrad von (gerundet) 48%. Es bleibt daher bei der mit dem angefochtenen Entscheid zugesprochenen Viertelsrente.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