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8C_488/2024 vom 5. September 2025</w:t>
      </w:r>
    </w:p>
    <w:p>
      <w:r>
        <w:t>Bundesgericht, 2025-09-05, DE</w:t>
      </w:r>
    </w:p>
    <w:p>
      <w:r>
        <w:rPr>
          <w:b/>
        </w:rPr>
        <w:t xml:space="preserve">Quelle: </w:t>
      </w:r>
      <w:r>
        <w:t>https://mcp.opencaselaw.ch/entscheid/bger_8C_488_2024</w:t>
      </w:r>
    </w:p>
    <w:p>
      <w:r>
        <w:t>FR: TF 8C_488/2024 du 5 septembre 2025</w:t>
      </w:r>
    </w:p>
    <w:p>
      <w:r>
        <w:t>IT: TF 8C_488/2024 del 5 settembre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 Eine Beweiswürdigung erweist sich erst dann als offensichtlich unrichtig und damit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1.3</w:t>
      </w:r>
    </w:p>
    <w:p>
      <w:r>
        <w:t>Neue Tatsachen und Beweismittel dürfen vor Bundesgericht nur so weit vorgebracht werden, als erst der Entscheid der Vorinstanz dazu Anlass gibt ( Art. 99 Abs. 1 BGG ; BGE 135 V 194 E. 2.2),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 Die im letztinstanzlichen Verfahren neu eingereichten Arztberichte erweisen sich damit als unzulässig. Anzumerken ist in diesem Zusammenhang, dass eine nach Erlass der angefochtenen Verfügung eingetretene Verschlechterung des Gesundheitszustandes auch abgesehen von der Frage der Zulässigkeit der diesbezüglichen Beweismittel vor Bundesgericht nicht im vorliegenden Verfahren, sondern in einem Neuanmeldeverfahren vor der IV-Stelle geltend gemacht werden müsste.</w:t>
      </w:r>
    </w:p>
    <w:p>
      <w:r>
        <w:rPr>
          <w:b/>
        </w:rPr>
        <w:t>E. 2</w:t>
      </w:r>
    </w:p>
    <w:p>
      <w:r>
        <w:t>Streitig und zu prüfen ist, ob das kantonale Gericht Bundesrecht verletzte, als es einen Anspruch der Beschwerdeführerin auf eine Rente der Invalidenversicherung verneinte.</w:t>
      </w:r>
    </w:p>
    <w:p>
      <w:r>
        <w:rPr>
          <w:b/>
        </w:rPr>
        <w:t>E. 3</w:t>
      </w:r>
    </w:p>
    <w:p>
      <w:r>
        <w:t>Anspruch auf eine Rente haben gemäss Art. 28 Abs. 1 IVG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 Art. 8 ATSG ) sind.</w:t>
      </w:r>
    </w:p>
    <w:p>
      <w:r>
        <w:rPr>
          <w:b/>
        </w:rPr>
        <w:t>E. 4.1</w:t>
      </w:r>
    </w:p>
    <w:p>
      <w:r>
        <w:t>Das kantonale Gericht hat für das Bundesgericht grundsätzlich verbindlich festgestellt, dass die Beschwerdeführerin - abgesehen von einer kurzzeitigen Phase höherer Arbeitsunfähigkeit im Jahre 2020 - in einer ihrem Leiden angepassten Tätigkeit zu 80 % arbeitsfähig ist. Dabei stützte es sich insbesondere auf das polydisziplinäre Gutachten der estimed AG vom 22. März 2023. Die Beschwerdeführerin macht demgegenüber geltend, auf dieses Gutachten könne nicht abgestellt werden; sie sei seit ihrer Anmeldung durchgehend nur zu 50 % arbeitsfähig.</w:t>
      </w:r>
    </w:p>
    <w:p>
      <w:r>
        <w:rPr>
          <w:b/>
        </w:rPr>
        <w:t>E. 4.2</w:t>
      </w:r>
    </w:p>
    <w:p>
      <w:r>
        <w:t>Auf im Verfahren nach Art. 44 ATSG eingeholte Gutachten ist rechtsprechungsgemäss abzustellen, wenn nicht konkrete Indizien gegen die Zuverlässigkeit der Expertise sprechen ( BGE 135 V 465 E. 4.4). Solche vermag die Beschwerdeführerin - wie nachstehende Erwägungen zeigen - keine darzutun.</w:t>
      </w:r>
    </w:p>
    <w:p>
      <w:r>
        <w:rPr>
          <w:b/>
        </w:rPr>
        <w:t>E. 4.2.1</w:t>
      </w:r>
    </w:p>
    <w:p>
      <w:r>
        <w:t>Die Beschwerdeführerin legt nicht dar, welche medizinischen Aspekte von den Experten der estimed AG nicht gewürdigt worden wären. Entsprechend erscheinen die Erwägungen der Vorinstanz, die Rüge der unvollständigen Aktenzusammenfassung durch die Gutachter sei rein formalistisch, nicht als bundesrechtswidrig. Ebenfalls kann aus dem Erscheinungsjahr der von den Experten verwendeten Literatur nicht ohne Weiteres geschlossen werden, diese sei veraltet; dass neuere Literatur das Leiden der Beschwerdeführerin in einem anderen Licht erscheinen liesse, wird von ihr nicht substanziiert geltend gemacht.</w:t>
      </w:r>
    </w:p>
    <w:p>
      <w:r>
        <w:rPr>
          <w:b/>
        </w:rPr>
        <w:t>E. 4.2.2</w:t>
      </w:r>
    </w:p>
    <w:p>
      <w:r>
        <w:t>Wie die Beschwerdeführerin selber einräumt, war dem an der Begutachtung beteiligten Neurologen bekannt, dass sie im Jahre 2018 einen Busunfall erlitten hatte. Aus dem Umstand, dass der Neurologe keine Diagnosen mit Auswirkung auf die Arbeitsfähigkeit aus seinem Fachgebiet stellte, ergibt sich ohne weiteres, dass solche nach Ansicht des Experten auch nicht aufgrund des Busunfalles bestehen. Eine besondere Erwähnung dieses Ereignisses erweist sich damit als entbehrlich.</w:t>
      </w:r>
    </w:p>
    <w:p>
      <w:r>
        <w:rPr>
          <w:b/>
        </w:rPr>
        <w:t>E. 4.2.3</w:t>
      </w:r>
    </w:p>
    <w:p>
      <w:r>
        <w:t>Der psychiatrische Teilgutachter attestierte der Beschwerdeführerin einzig eine Schmerzverarbeitungsstörung. Entgegen ihren Vorbringen bestehen keine Hinweise darauf, dass der Psychiater sich hierbei von einer überholten Rechtsprechung hat leiten lassen. Da die von den Gutachtern hinzugezogene Neuropsychologin die Beschwerdeführerin als neuropsychologisch unauffällig einstufte, durfte der Psychiater zudem auch auf eine ausführlichere Auseinandersetzung mit den Resultaten der neuropsychologischen Tests verzichten.</w:t>
      </w:r>
    </w:p>
    <w:p>
      <w:r>
        <w:rPr>
          <w:b/>
        </w:rPr>
        <w:t>E. 4.2.4</w:t>
      </w:r>
    </w:p>
    <w:p>
      <w:r>
        <w:t>Gemäss den vorinstanzlichen Erwägungen hat sich der rheumatologische Teilgutachter ausführlich mit der bei der Beschwerdeführerin diagnostizieren Ehlers-Danlos-Syndrom auseinandergesetzt und diese Diagnose auch bestätigt. Dass der Grad der von ihm attestierten Arbeitsunfähigkeit geringer ausgefallen ist, als die Selbsteinschätzung der Beschwerdeführerin, lässt entgegen ihren Ausführungen offenkundig nicht den Schluss zu, er sei mit dieser Krankheit zu wenig vertraut. Auch hinsichtlich des rheumatologischen Gutachtens liegen somit keine konkrete Indizien vor, welche gegen die Zuverlässigkeit der Expertise sprechen würden.</w:t>
      </w:r>
    </w:p>
    <w:p>
      <w:r>
        <w:rPr>
          <w:b/>
        </w:rPr>
        <w:t>E. 4.2.5</w:t>
      </w:r>
    </w:p>
    <w:p>
      <w:r>
        <w:t>Ebenfalls nicht bundesrechtswidrig erscheint der Schluss der Vorinstanz, es habe eine genügende Konsensbeurteilung durch die Gutachter stattgefunden. Weshalb eine solche Besprechung nicht auch fernmündlich bzw. auf einer - hinreichend geschützten - elektronischen Plattform stattfinden dürfte, ist entgegen den Vorbingen der Beschwerdeführerin nicht erkennbar.</w:t>
      </w:r>
    </w:p>
    <w:p>
      <w:r>
        <w:rPr>
          <w:b/>
        </w:rPr>
        <w:t>E. 4.3</w:t>
      </w:r>
    </w:p>
    <w:p>
      <w:r>
        <w:t>Demnach verletzte die Vorinstanz kein Bundesrecht, als sie bei der Feststellung der (medizinisch-theoretischen) Arbeitsfähigkeit auf das Gutachten der estimed AG abstellte. Die übrigen Punkte der Invaliditätsbemessung - insbesondere der vorinstanzliche Einkommensvergleich - werden von der Beschwerdeführerin nicht bestritten, womit die Beschwerde ohne Weiterungen abzuweisen ist.</w:t>
      </w:r>
    </w:p>
    <w:p>
      <w:r>
        <w:rPr>
          <w:b/>
        </w:rPr>
        <w:t>E. 5.1</w:t>
      </w:r>
    </w:p>
    <w:p>
      <w:r>
        <w:t>Dem Ausgang des Verfahrens entsprechend sind die Gerichtskosten der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5.2</w:t>
      </w:r>
    </w:p>
    <w:p>
      <w:r>
        <w:t>Die Rechtsvertreterin der Beschwerdeführerin macht einen Aufwand von Fr. 6'345.47 und Fr. 127.-, total mithin Fr. 6'472.47 geltend. Der geltend gemachte Gesamtaufwand erscheint angesichts des Umstandes, dass sich im vorliegenden Verfahren keine komplexen Rechtsfragen stellten, sondern es einzig um die Frage ging, ob das Abstellen der Vorinstanz auf ein von der Verwaltung im Verfahren nach Art. 44 ATSG eingeholtes Gutachten Bundesrecht verletzte, als übersetzt. Es rechtfertigt sich vielmehr, der Rechtsvertreterin eine Entschädigung in der Höhe der üblichen Pauschale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