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8C_487/2024 vom 4. Oktober 2024</w:t>
      </w:r>
    </w:p>
    <w:p>
      <w:r>
        <w:t>Bundesgericht, 2024-10-04, DE</w:t>
      </w:r>
    </w:p>
    <w:p>
      <w:r>
        <w:rPr>
          <w:b/>
        </w:rPr>
        <w:t xml:space="preserve">Quelle: </w:t>
      </w:r>
      <w:r>
        <w:t>https://mcp.opencaselaw.ch/entscheid/bger_8C_487_2024</w:t>
      </w:r>
    </w:p>
    <w:p>
      <w:r>
        <w:t>FR: TF 8C_487/2024 du 4 octobre 2024</w:t>
      </w:r>
    </w:p>
    <w:p>
      <w:r>
        <w:t>IT: TF 8C_487/2024 del 4 ottobre 2024</w:t>
      </w:r>
    </w:p>
    <w:p>
      <w:pPr>
        <w:pStyle w:val="Heading2"/>
      </w:pPr>
      <w:r>
        <w:t>Erwägungen</w:t>
      </w:r>
    </w:p>
    <w:p>
      <w:r>
        <w:rPr>
          <w:b/>
        </w:rPr>
        <w:t>E. 1</w:t>
      </w:r>
    </w:p>
    <w:p>
      <w:r>
        <w:t>Mit prozessleitender Verfügung vom 12. Juli 2024 wies das Verwaltungsgericht des Kantons Aargau das vom Beschwerdeführer im auf kantonalem Recht beruhenden Verfahren WBE.2024.246 (vgl. BGE 148 V 114 E. 3.1) gestellte Gesuch um unentgeltliche Rechtspflege ab und forderte ihn am 9. August 2024 ein letztes Mal auf, einen Kostenvorschuss von Fr. 600.- innert gesetzter Frist zu bezahlen. Anderenfalls werde auf die Beschwerde nicht eingetreten. Dabei legte es näher dar, weshalb Letzterer voraussichtlich kein Erfolg beschieden sein kann, was zur Ablehnung des Gesuchs führe</w:t>
      </w:r>
    </w:p>
    <w:p>
      <w:r>
        <w:rPr>
          <w:b/>
        </w:rPr>
        <w:t>E. 2</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gegen ein in Anwendung kantonalen Rechts ergangenes Urteil richten, ist demnach anhand der massgeblichen Erwägungen desselben klar und detailliert darzulegen, welche verfassungsmässigen Rechte und inwiefern sie durch dieses Urteil verletzt sein sollen.</w:t>
      </w:r>
    </w:p>
    <w:p>
      <w:r>
        <w:rPr>
          <w:b/>
        </w:rPr>
        <w:t>E. 3</w:t>
      </w:r>
    </w:p>
    <w:p>
      <w:r>
        <w:t>Der Beschwerdeführer bringt nichts Derartiges vor. Allein pauschal Art. 12 (Recht auf Hilfe in Notlagen) und Art. 29 Abs. 3 BV (Anspruch auf unentgeltliche Rechtspflege bei nicht aussichtslos erscheinenden Rechtsbegehren) anzurufen, ohne aufzuzeigen, inwiefern die Vorinstanz konkret dagegen verstossen haben soll, reicht nicht aus. Inwiefern Art. 12 BV einen über Art. 29 Abs. 3 BV hinausgehenden Anspruch auf kostenlose Prozessführung begründen oder Art. 13 EMRK verletzt sein soll, legt der Beschwerdeführer ebenso wenig dar. Die Art und Weise der Prozessführung hat querulatorischen Charakter (siehe dazu Art. 33 Abs. 2, Art. 42 Abs. 7 und Art. 108 Abs. 1 lit. c BGG ),</w:t>
      </w:r>
    </w:p>
    <w:p>
      <w:r>
        <w:rPr>
          <w:b/>
        </w:rPr>
        <w:t>E. 4</w:t>
      </w:r>
    </w:p>
    <w:p>
      <w:r>
        <w:t>Liegt offensichtlich keine hinreichend begründete Beschwerde vor, so führt dies zu einem Nichteintreten im vereinfachten Verfahren nach Art. 108 Abs. 1 lit. b BGG .</w:t>
      </w:r>
    </w:p>
    <w:p>
      <w:r>
        <w:rPr>
          <w:b/>
        </w:rPr>
        <w:t>E. 5</w:t>
      </w:r>
    </w:p>
    <w:p>
      <w:r>
        <w:t>In Anwendung von Art. 66 Abs. 1 Satz 2 BGG wird ausnahmsweise auf die Erhebung von Gerichtskosten verzichtet. Der Beschwerdeführer darf indessen insbesondere bei gleichbleibenden künftigen Eingaben an das Bundesgericht nicht mehr mit dieser Rechtswohltat 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