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8C_487/2007 vom 23. November 2007</w:t>
      </w:r>
    </w:p>
    <w:p>
      <w:r>
        <w:t>Bundesgericht, 2007-11-23, DE</w:t>
      </w:r>
    </w:p>
    <w:p>
      <w:r>
        <w:rPr>
          <w:b/>
        </w:rPr>
        <w:t xml:space="preserve">Quelle: </w:t>
      </w:r>
      <w:r>
        <w:t>https://mcp.opencaselaw.ch/entscheid/bger_8C_487_2007</w:t>
      </w:r>
    </w:p>
    <w:p>
      <w:r>
        <w:t>FR: TF 8C_487/2007 du 23 novembre 2007</w:t>
      </w:r>
    </w:p>
    <w:p>
      <w:r>
        <w:t>IT: TF 8C_487/2007 del 23 novembre 2007</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w:t>
      </w:r>
    </w:p>
    <w:p>
      <w:r>
        <w:rPr>
          <w:b/>
        </w:rPr>
        <w:t>E. 2.1</w:t>
      </w:r>
    </w:p>
    <w:p>
      <w:r>
        <w:t>Die Vorinstanz hat die Bestimmungen über die - im Rahmen des allgemeinen Gebots der Schadenminderung ( BGE 130 V 97 E. 3.2 S. 99) - bestehende Pflicht der versicherten Person zur Vermeidung oder Verkürzung der Arbeitslosigkeit ( Art. 17 Abs. 1 Satz 1 AVIG ), die Einstellung in der Anspruchsberechtigung wegen Nichtbefolgung der Kontrollvorschriften oder Weisungen der zuständigen Amtsstelle ( Art. 30 Abs. 1 lit. d AVIG ) sowie die vom Verschuldensgrad abhängige Dauer der Sanktion ( Art. 30 Abs. 3 Satz 3 AVIG in Verbindung mit Art. 45 Abs. 2 AVIV ) zutreffend dargelegt. Darauf wird verwiesen.</w:t>
      </w:r>
    </w:p>
    <w:p>
      <w:r>
        <w:rPr>
          <w:b/>
        </w:rPr>
        <w:t>E. 2.2</w:t>
      </w:r>
    </w:p>
    <w:p>
      <w:r>
        <w:t>Ist die neue Kognitionsregelung anwendbar (E. 1.1), ist aufgrund der Vorbringen in der Beschwerde zu prüfen, ob der angefochtene Gerichtsentscheid in der Anwendung der massgeblichen materiell- und beweisrechtlichen Grundlagen (E. 1.2)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(BGE 8C_31/2007 vom 25. September 2007, E. 2.2).</w:t>
      </w:r>
    </w:p>
    <w:p>
      <w:r>
        <w:rPr>
          <w:b/>
        </w:rPr>
        <w:t>E. 3.1</w:t>
      </w:r>
    </w:p>
    <w:p>
      <w:r>
        <w:t>Anfechtungs- und Streitgegenstand bildet die Einstellung in der Anspruchsberechtigung wegen Nichtbefolgung der Weisungen der zuständigen Amtsstelle ( Art. 30 Abs. 1 lit. d AVIG ; BGE 131 V 164 E. 2.1). Als Rechtsfragen gelten die gesetzlichen und rechtsprechungsgemässen Regeln über die Einstellung in der Anspruchsberechtigung ( Art. 30 AVIG ). Zu prüfen ist hierbei insbesondere die falsche Rechtsanwendung (Seiler/von Werdt/Güngerich, Bundesgerichtsgesetz [BGG], Bern 2007, Art. 95 Rz. 9). Diese basiert auf einer grundsätzlich verbindlichen Sachverhaltsfeststellung. Schliesslich ist die Höhe der Einstellungsdauer eine typische Ermessensfrage, deren Beantwortung letztinstanzlicher Korrektur nur mehr dort zugänglich ist, wo das kantonale Gericht das Ermessen rechtsfehlerhaft ausgeübt hat, also Ermessensüberschreitung, -missbrauch oder -unterschreitung vorliegt (erwähnter BGE 8C_31/2007, E. 3.1).</w:t>
      </w:r>
    </w:p>
    <w:p>
      <w:r>
        <w:rPr>
          <w:b/>
        </w:rPr>
        <w:t>E. 3.2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 BGE 8C_179/2007 vom 25. September 2007, E. 2.2).</w:t>
      </w:r>
    </w:p>
    <w:p>
      <w:r>
        <w:rPr>
          <w:b/>
        </w:rPr>
        <w:t>E. 4.1</w:t>
      </w:r>
    </w:p>
    <w:p>
      <w:r>
        <w:t>Am 28. November 2005 wies das Regionale Arbeitsvermittlungszentrum X.________ den Beschwerdeführer an, sich bei der Firma Y.________ als Call Center Agent zu bewerben. Unbestritten ist, dass er den auf Mitte Dezember 2005 vereinbarten Vorstellungstermin bei dieser Firma wegen Verschlafens nicht wahrnahm. Die Vorinstanz hat gestützt hierauf zutreffend erkannt, dass der Versicherte damit seiner Schadenminderungspflicht in fahrlässiger Weise nicht nachkam und die Verantwortung für das Nichzustandekommen des Vorstellungsgesprächs trägt, weshalb er zu Recht gestützt auf Art. 30 Abs. 1 lit. d AVIG in der Anspruchsberechtigung eingestellt wurde.</w:t>
      </w:r>
    </w:p>
    <w:p>
      <w:r>
        <w:t>Die im unteren Bereich des schweren Verschuldens ( Art. 45 Abs. 2 lit. c AVIV ) auf 36 Tage festgesetzte Einstellung in der Anspruchsberechtigung ist nicht zu beanstanden, da nicht gesagt werden kann, die Vorinstanz habe ihr Ermessen missbraucht, unter- oder überschritten. Es liegt ein schweres Verschulden vor, da das Verhalten des Versicherten - Verschlafen vor einem Bewerbungsgespräch - nicht zu entschuldigen ist ( BGE 130 V 125 ).</w:t>
      </w:r>
    </w:p>
    <w:p>
      <w:r>
        <w:rPr>
          <w:b/>
        </w:rPr>
        <w:t>E. 4.2</w:t>
      </w:r>
    </w:p>
    <w:p>
      <w:r>
        <w:t>Sämtliche Einwendungen des Beschwerdeführers vermögen an diesem Ergebnis nichts zu ändern.</w:t>
      </w:r>
    </w:p>
    <w:p>
      <w:r>
        <w:t>Er macht geltend, ob ihn die Firma Y.________ überhaupt eingestellt hätte, hänge nicht nur von seinem persönlichen Erscheinen ab. Im Vordergrund stehe bei einer Selektion bekanntlich die Eignung, die ihm bei einem späteren Bewerbungsgespräch für die gleiche Stelle bei einer anderen Filiale der Firma Y.________ abgesprochen worden sei. Diese Frage ist indessen nicht entscheidend. Denn für die Erfüllung des Einstellungstatbestandes reicht es aus, dass der Beschwerdeführer durch sein Verhalten (Verschlafen) mitursächlich dazu beigetragen hat, dass es nicht zum Abschluss eines Arbeitsvertrages kam (in BGE 130 V 125 nicht veröffentlichte E. 1, zitiert in SVR 2004 ALV Nr. 11 S. 31, C 162/02; ARV 1999 Nr. 33 S. 193 E. 2; vgl. auch Urteil C 181/00 vom 12. März 2001, E. 2b). Nichts zu seinen Gunsten ableiten kann der Versicherte aus dem Argument, die Firma Y.________ habe keine Terminverschiebung gewähren wollen, obwohl er ihr 20 Minuten vor dem vereinbarten Bewerbungstermin telefonisch mitgeteilt habe, er könne diesen nicht einhalten.</w:t>
      </w:r>
    </w:p>
    <w:p>
      <w:r>
        <w:t>Nicht gefolgt werden kann dem Vorbringen des Versicherten, die vorinstanzliche Feststellung, er sei mit dem Nichterscheinen zum Vorstellungsgespräch seiner Schadenminderungspflicht nicht nachgekommen, sei willkürlich, da sie seine übrigen Anstrengungen zur Schadenminderung durch Erzielung von Zwischenverdienst seit November 2005 missachte.</w:t>
      </w:r>
    </w:p>
    <w:p>
      <w:r>
        <w:t>Weiter wendet der Versicherte ein, es habe sich um ein einmaliges Missgeschick gehandelt, weshalb es ihm nicht als schweres Verschulden angelastet werden könne. Er habe vor und nach dem "verpatzten" Bewerbungsgespräch sämtliche Kontrollvorschriften und Weisungen der zuständigen Amtsstelle ordentlich befolgt. Wenn schon wäre ein leichtes Verschulden anzunehmen und die Einstellungsdauer entsprechend zu reduzieren. Dieser Einwand ist nicht stichhaltig. Entgegen der Auffassung des Versicherten kann in der Einstellungsdauer von 36 Tagen weder eine Ermessensüberschreitung noch eine Verletzung des Grundsatzes der Verhältnismässigkeit erblickt werden (vgl. E. 3.2 hievor). Nichts zu seinen Gunsten ableiten kann er aus dem Urteil C 207/05 vom 31. Oktober 2006, in dem eine Einstellungsdauer von 31 Tagen (schweres Verschulden) gegenüber einem Versicherten ausgesprochen wurde, der vom Arbeitgeber entlassen worden war, weil er trotz dreier schriftlichen Mahnungen mehrmals zu spät zur Arbeit erschienen war. Aus diesem Urteil kann nicht geschlossen werden, das einmalige Verschlafen des Beschwerdeführers dürfe nicht als schweres Verschulden taxiert werden.</w:t>
      </w:r>
    </w:p>
    <w:p>
      <w:r>
        <w:rPr>
          <w:b/>
        </w:rPr>
        <w:t>E. 5</w:t>
      </w:r>
    </w:p>
    <w:p>
      <w:r>
        <w:t>Da die Beschwerde offensichtlich unbegründet ist, wird sie im Verfahren Art. 109 Abs. 2 lit. a BGG erledigt. 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