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486/2008 vom 22. Dezember 2008</w:t>
      </w:r>
    </w:p>
    <w:p>
      <w:r>
        <w:t>Bundesgericht, 2008-12-22, DE</w:t>
      </w:r>
    </w:p>
    <w:p>
      <w:r>
        <w:rPr>
          <w:b/>
        </w:rPr>
        <w:t xml:space="preserve">Quelle: </w:t>
      </w:r>
      <w:r>
        <w:t>https://mcp.opencaselaw.ch/entscheid/bger_8C_486_2008</w:t>
      </w:r>
    </w:p>
    <w:p>
      <w:r>
        <w:t>FR: TF 8C 486/2008 du 22 décembre 2008</w:t>
      </w:r>
    </w:p>
    <w:p>
      <w:r>
        <w:t>IT: TF 8C 486/2008 del 22 dicembre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 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Streitig ist das Valideneinkommen. Vor Bundesgericht nicht mehr zu prüfen sind hingegen der versicherte Verdienst, die zumutbare Arbeitsfähigkeit, das Invalideneinkommen und der Anspruch auf eine Integritätsentschädigung. Die SUVA beantragt zwar die vollumfängliche Aufhebung des kantonalen Entscheids, doch in ihrer Beschwerde macht sie weder Ausführungen über den versicherten Verdienst noch den Anspruch auf unentgeltliche Verbeiständung für das Einspracheverfahren, weshalb es diesbezüglich an einer genügenden Begründung fehlt ( Art. 42 Abs. 2 BGG ) und darauf nicht eingetreten werden kann. Ebenfalls nicht Gegenstand dieses Verfahrens bildet die am 25. April 2007 verfügte Rückforderung.</w:t>
      </w:r>
    </w:p>
    <w:p>
      <w:r>
        <w:rPr>
          <w:b/>
        </w:rPr>
        <w:t>E. 3.1</w:t>
      </w:r>
    </w:p>
    <w:p>
      <w:r>
        <w:t>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 S. 348, 128 V 29 E. 1 S. 30, je mit Hinweisen).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134 V 322 E. 4.1 S. 325 mit Hinweisen).</w:t>
      </w:r>
    </w:p>
    <w:p>
      <w:r>
        <w:rPr>
          <w:b/>
        </w:rPr>
        <w:t>E. 3.2</w:t>
      </w:r>
    </w:p>
    <w:p>
      <w:r>
        <w:t>Der Versicherte verletzte sich bereits zehn Tage nach Aufnahme seiner Tätigkeit für die P.________ GmbH am 1. Juli 2004 an der rechten Hand; es folgten weitere Unfälle, die ebenfalls die rechte Hand betrafen. In der Folge war er kaum mehr für die P.________ GmbH als Maler tätig (vgl. Aktennotiz vom 7. September 2007 sowie kreisärztlicher Bericht vom 31. August 2006), so dass für die Ermittlung des Valideneinkommens nicht auf das Einkommen bei der P.________ GmbH abgestellt werden kann, zumal sich den Akten keine Lohnvereinbarung entnehmen lässt und die P.________ GmbH auch im Jahr 2007 noch keinen Lohn für die Zeit ab 2004 abgerechnet hatte (Auszug aus dem individuellen Konto [nachfolgend: IK] vom 17. Juli 2007). Die Vorinstanz hat deshalb zu Recht auf die Einkommensverhältnisse vor Aufnahme der Tätigkeit für die P.________ GmbH abgestellt und festgehalten, dass der Versicherte in den Jahren vor den versicherten Ereignissen gemäss Eintrag im IK jährlich maximal ein Einkommen aus selbstständiger Erwerbstätigkeit von Fr. 10'000.- abgerechnet hat (1999: Fr. 9588.-, 2000 und 2001: Fr. 0.-, 2002: Fr. 9888.- und 2003: Fr. 586.-). Unter Berücksichtigung des Einwands des Versicherten, diese Einkommen seien zu niedrig, da er über seine Geschäfte unsorgfältig Buch geführt habe, ist sie zum Schluss gelangt, dass dieser als selbstständiger Maler im Vergleich zu den Tabellenlöhnen der Lohnstrukturerhebung des Bundes (LSE) ein unterdurchschnittliches Einkommen erzielt hat und anzunehmen sei, dass er auch ohne Gesundheitsschaden sich weiterhin mit einem bescheidenen Einkommen begnügt hätte, obwohl ihm als gelerntem Maler bessere Verdienstmöglichkeiten offen stehen würden. Dem ist beizupflichten. Nicht gefolgt werden kann der Vorinstanz jedoch darin, dass sie in der Folge eine Parallelisierung der Einkommen vorgenommen hat. Denn angesichts des Umstandes, dass der Versicherte aus invaliditätsfremden Gründen und aus freien Stücken auf die Erzielung eines durchschnittlichen Einkommens verzichtet hat, ist von einer Parallelisierung abzusehen (E. 3.1; vgl. auch Urteile 9C_560/2008 vom 12. Dezember 2008, E. 3.4.1 bis 3.4.4, und U 291/05 vom 23. Januar 2006, E. 2.5.2). Es ist demnach nicht zu beanstanden, dass die SUVA in ihrem Einspracheentscheid vom 17. April 2007 bei der Festsetzung des Valideneinkommens von einem im Vergleich zu den IK-Auszügen höheren, aber unter den Tabellenwerten der LSE liegenden Einkommen von Fr. 40'000.- ausgegangen ist. Unter Berücksichtigung des unbestrittenen Invalideneinkommens von Fr. 43'882.- resultiert kein Anspruch auf eine Invalidenrente der Unfallversicherung.</w:t>
      </w:r>
    </w:p>
    <w:p>
      <w:r>
        <w:rPr>
          <w:b/>
        </w:rPr>
        <w:t>E. 4</w:t>
      </w:r>
    </w:p>
    <w:p>
      <w:r>
        <w:t>Das Verfahren ist kostenpflichtig. Dem Ausgang des Verfahrens entsprechend hat der Beschwerdegegner die Gerichtskosten zu tragen ( Art. 66 Abs. 1 BGG ). Angesichts der dargelegten finanziellen Situation ist seinem Begehren auf unentgeltliche Rechtspflege zu entsprechen ( Art. 64 Abs. 1 BGG ). Er hat jedoch der Gerichtskasse Ersatz zu leisten, sofern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