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484/2018 vom 30. Juli 2018</w:t>
      </w:r>
    </w:p>
    <w:p>
      <w:r>
        <w:t>Bundesgericht, 2018-07-30, IT</w:t>
      </w:r>
    </w:p>
    <w:p>
      <w:r>
        <w:rPr>
          <w:b/>
        </w:rPr>
        <w:t xml:space="preserve">Quelle: </w:t>
      </w:r>
      <w:r>
        <w:t>https://mcp.opencaselaw.ch/entscheid/bger_8C_484_2018</w:t>
      </w:r>
    </w:p>
    <w:p>
      <w:r>
        <w:t>FR: TF 8C 484/2018 du 30 juillet 2018</w:t>
      </w:r>
    </w:p>
    <w:p>
      <w:r>
        <w:t>IT: TF 8C 484/2018 del 30 luglio 2018</w:t>
      </w:r>
    </w:p>
    <w:p>
      <w:pPr>
        <w:pStyle w:val="Heading2"/>
      </w:pPr>
      <w:r>
        <w:t>Regeste</w:t>
      </w:r>
    </w:p>
    <w:p>
      <w:r>
        <w:t>Assicurazione sociale cantonale (procedura cantonale) | Assegni familiari nell'agricoltura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Cassa cantonale di compensazione, Ufficio delle prestazioni. Lucerna, 30 luglio 2018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