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483/2019 vom 16. September 2019</w:t>
      </w:r>
    </w:p>
    <w:p>
      <w:r>
        <w:t>Bundesgericht, 2019-09-16, DE</w:t>
      </w:r>
    </w:p>
    <w:p>
      <w:r>
        <w:rPr>
          <w:b/>
        </w:rPr>
        <w:t xml:space="preserve">Quelle: </w:t>
      </w:r>
      <w:r>
        <w:t>https://mcp.opencaselaw.ch/entscheid/bger_8C_483_2019</w:t>
      </w:r>
    </w:p>
    <w:p>
      <w:r>
        <w:t>FR: TF 8C 483/2019 du 16 septembre 2019</w:t>
      </w:r>
    </w:p>
    <w:p>
      <w:r>
        <w:t>IT: TF 8C 483/2019 del 16 settembre 2019</w:t>
      </w:r>
    </w:p>
    <w:p>
      <w:pPr>
        <w:pStyle w:val="Heading2"/>
      </w:pPr>
      <w:r>
        <w:t>Regeste</w:t>
      </w:r>
    </w:p>
    <w:p>
      <w:r>
        <w:t>Unfallversicherung (Kausalzusammenhang; Beschleunigungsmechanismus) | Unfallversicherung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Streitig ist, ob das kantonale Gericht Bundesrecht verletzte, indem es die Leistungseinstellung per 30. September 2008 sowie die Ablehnung der Ansprüche auf eine Invalidenrente und eine Integritätsentschädigung hinsichtlich der Unfälle vom 2. Januar 2005 und 21. Februar 2006 schützte. Zur Frage steht dabei die Adäquanz des Kausalzusammenhanges zwischen den im Einstellungszeitpunkt noch bestehenden Beschwerden und den erwähnten Ereignissen, insbesondere, ob die dafür massgeblichen Kriterien in hinreichender Zahl gegeben seien.</w:t>
      </w:r>
    </w:p>
    <w:p>
      <w:r>
        <w:rPr>
          <w:b/>
        </w:rPr>
        <w:t>E. 3</w:t>
      </w:r>
    </w:p>
    <w:p>
      <w:r>
        <w:t>Das kantonale Gericht hat die Rechtsprechung zu dem für die Leistungspflicht des Unfallversicherers nach Art. 6 Abs. 1 UVG vorausgesetzten natürlichen und adäquaten Kausalzusammenhang im Allgemeinen ( BGE 142 V 435 E. 1 S. 438; 129 V 177 E. 3.1 und 3.2 S. 181) und bei organisch objektiv nicht ausgewiesenen Beschwerden nach der sogenannten Schleudertrauma-Praxis; BGE 138 V 248 E. 4 S. 250 f.; 134 V 109 ; Urteil 8C_771/2017 vom 3. Mai 2018 E. 2) beziehungsweise bei psychischen Unfallfolgen im Besonderen ( BGE 115 V 133 E. 6 und 7 S. 138 ff.; 134 V 109 E. 6.1 S. 116) zutreffend dargelegt. Gleiches gilt hinsichtlich der Rechtsprechung zum Beweiswert medizinischer Berichte und Gutachten ( BGE 134 V 231 E. 5.1 S. 232; 125 V 351 E. 3 S. 352). Es wird darauf verwiesen.</w:t>
      </w:r>
    </w:p>
    <w:p>
      <w:r>
        <w:rPr>
          <w:b/>
        </w:rPr>
        <w:t>E. 4</w:t>
      </w:r>
    </w:p>
    <w:p>
      <w:r>
        <w:t>Nach Wiedergabe der Ergebnisse der interdisziplinären Begutachtung durch Dres. med. C.________, D.________ und E.________ stellte die Vorinstanz fest, dass keine organisch objektiv ausgewiesenen Beschwerden vorlägen. Der für die Leistungspflicht vorausgesetzte adäquate Kausalzusammenhang mit den Unfällen vom 2. Januar 2005 und 21. Februar 2006 sei unter Annahme von (höchstens) mittelschweren Ereignissen im Grenzbereich zu den leichten Unfällen nach Massgabe der Rechtsprechung zu den psychischen Unfallfolgen, aber auch nach der Schleudertrauma-Praxis nicht erfüllt. Während die Vorinstanz sämtliche der diesbezüglich beachtlichen Kriterien als nicht gegeben erachtete, macht der Beschwerdeführer geltend, dass vier davon (Schwere oder besondere Art der erlittenen Verletzungen, erhebliche Beschwerden, schwieriger Heilungsverlauf und erhebliche Komplikationen sowie erhebliche Arbeitsunfähigkeit trotz ausgewiesener Anstrengungen) hätten bejaht werden müssen.</w:t>
      </w:r>
    </w:p>
    <w:p>
      <w:r>
        <w:rPr>
          <w:b/>
        </w:rPr>
        <w:t>E. 5.1</w:t>
      </w:r>
    </w:p>
    <w:p>
      <w:r>
        <w:t>Beim Kriterium der Schwere oder besonderen Art der erlittenen Verletzungen waren nach dem kantonalen Gericht keine früheren Schädigungen der Halswirbelsäule zu berücksichtigen. Inwiefern die diesbezüglichen Feststellungen zum Sachverhalt unrichtig wären, ist nicht erkennbar. So war gemäss Urteil U 415/01 vom 27. August 2002 nach dem (zweiten) Velounfall des Beschwerdeführers vom 24. Juni 1998 (Kollision mit einem Auto) kein Schleudertrauma diagnostiziert worden (E. 2.2). Auch bei seinem bereits am 16. Mai 1993 erlittenen Sturz mit dem Velo war die Halswirbelsäule gemäss neurologischem Teilgutachten des Dr. med. C.________ nicht betroffen. Nach der Vorinstanz bestand zum Zeitpunkt des streitbetroffenen Unfalls vom 2. Januar 2005 auch keine durch eine entsprechende Verletzung bedingte Arbeitsunfähigkeit. Daran ändert nichts, dass der Beschwerdeführer wegen eines Rückfalls bis zum 31. Januar 2003 Taggeldleistungen der Suva bezog, denn dieser betraf die am 24. Juni 1998 verletzte Schulter (vgl. Urteil U 91/06 vom 24. November 2006). Es ist daher nicht zu beanstanden, dass das kantonale Gericht eine Exazerbation der Beschwerden wegen erneuter Traumatisierung der Halswirbelsäule ausgeschlossen hat (vgl. SVR 2007 UV Nr. 1 S. 1, U 39/04 E. 3.4.2). Auch dass sich der vorbestehende Tinnitus nach dem Auffahrunfall vom 2. Januar 2005 verstärkt haben mochte, kann nicht zu einer anderen Beurteilung führen. Soweit der Beschwerdeführer geltend macht, dass er am 21. Februar 2006 eine weitere Kopfverletzung erlitten habe, ging die Vorinstanz gestützt auf die interdisziplinäre gutachtliche Beurteilung davon aus, dass dieser Unfall zu keiner relevanten weiteren Akzentuierung der Beschwerden geführt habe. Das eingangs genannte Adäquanzkriterium ist mit der Vorinstanz zu verneinen.</w:t>
      </w:r>
    </w:p>
    <w:p>
      <w:r>
        <w:rPr>
          <w:b/>
        </w:rPr>
        <w:t>E. 5.2</w:t>
      </w:r>
    </w:p>
    <w:p>
      <w:r>
        <w:t>Der Beschwerdeführer macht geltend, dass er wegen seiner vorbestehenden psychischen Problematik im Umgang mit den unfallbedingten Schmerzen deutlich eingeschränkt sei, weshalb das Kriterium des schwierigen Heilverlaufs und erheblicher Komplikationen erfüllt sei. Ebenso beruft er sich auf eine erhebliche Arbeitsunfähigkeit. Wegen Übermüdung sowie Aufmerksamkeits- und Konzentrationsstörungen habe er ein 50 %-Pensum gerade noch bewältigen können; einer Steigerung habe der Arbeitgeber deshalb nicht zugestimmt.</w:t>
      </w:r>
    </w:p>
    <w:p>
      <w:r>
        <w:rPr>
          <w:b/>
        </w:rPr>
        <w:t>E. 5.2.1</w:t>
      </w:r>
    </w:p>
    <w:p>
      <w:r>
        <w:t>Gemäss den bundesgerichtlichen Erwägungen im Urteil 8C_844/2010 vom 15. Februar 2011 war aufgrund der damals vorliegenden Einschätzung der Suva-Ärztin anzunehmen, dass es durch den Unfall vom 2. Januar 2005 und dessen Folgen zu einer Dekompensation einer prätraumatischen (schizoiden) Persönlichkeitsstörung gekommen sei; und zwar im Sinne einer Unmöglichkeit, mit Belastungen, schwierigen Lebensereignissen und Schmerzen umzugehen (E. 4.5 und 4.7). Dies bestätigte sich anlässlich der jüngsten psychiatrischen Begutachtung durch Dr. med. E.________. Erst im Kontext dieser Persönlichkeitsstörung habe es zu der vorliegenden beträchtlichen Ausprägung der Beschwerden (diagnostiziert als anhaltende somatoforme Schmerzstörung beziehungsweise, hinsichtlich des Tinnitus, nicht näher bezeichnete somatoforme Störung) kommen können. Nach Zunahme der Schmerzen und Dekompensation des Tinnitus nach dem Auffahrunfall habe der Versicherte auch die zur Stabilisierung seines psychischen Gleichgewichts nötigen Freizeitaktivitäten (Sport, Reisen) nicht mehr im früheren Umfang realisieren und aus diesem Grund mehr als ein 50 %-Pensum (beziehungsweise das frühere 80 %-Pensum) nicht mehr bewältigen können.</w:t>
      </w:r>
    </w:p>
    <w:p>
      <w:r>
        <w:rPr>
          <w:b/>
        </w:rPr>
        <w:t>E. 5.2.2</w:t>
      </w:r>
    </w:p>
    <w:p>
      <w:r>
        <w:t>Das Kriterium des schwierigen Heilungsverlaufs ist bei diesen Gegebenheiten zu bejahen. Praxisgemäss genügt es diesbezüglich, dass ein nicht durch den Unfall verursachter Umstand den durchschnittlichen Heilungsprozess eines unfallbedingten Gesundheitsschadens ungünstig beeinflusst (SVR 2018 UV Nr. 3 S. 9, 8C_147/2017 E. 5.3). Aus dem gleichen Grund ist von einer erheblichen unfallbedingten Arbeitsunfähigkeit auszugehen. Gestützt auf die gutachtlichen Ausführungen ist auch anzunehmen, dass der Beschwerdeführer wegen der prätraumatischen Persönlichkeitsstörung nach dem Unfall vom 2. Januar 2005 nur noch beschränkt in der Lage war, die im Rahmen des Kriteriums geforderten besonderen Anstrengungen zur weiteren Steigerung der Arbeitsfähigkeit zu unternehmen. Da dem Beschwerdeführer aber nach gutachtlicher Einschätzung selbst unter Berücksichtigung der vorbestehenden psychiatrischen Problematik eine Arbeitsfähigkeit von 50 % erhalten geblieben ist (während er zuvor ein 80 %-Pensum versah), kann das Kriterium nicht als in besonders ausgeprägter Weise erfüllt gelten.</w:t>
      </w:r>
    </w:p>
    <w:p>
      <w:r>
        <w:rPr>
          <w:b/>
        </w:rPr>
        <w:t>E. 5.3</w:t>
      </w:r>
    </w:p>
    <w:p>
      <w:r>
        <w:t>Ob das Kriterium der erheblichen Beschwerden erfüllt sei, wie schliesslich (allerdings ohne Hinweis auf eine besondere Ausprägung) geltend gemacht wird, kann offen bleiben. Bei Unfällen, die zwar zum mittleren Bereich, aber wie hier, was der Beschwerdeführer zu übersehen scheint, zum Grenzbereich zu den leichten Fällen gehören, müssten rechtsprechungsgemäss mindestens vier Kriterien erfüllt sein, damit der adäquate Kausalzusammenhang bejaht werden könnte (SVR 2010 UV Nr. 25 S. 100, 8C_897/2009 E. 4.5; Urteil 8C_414/2017 vom 26. Februar 2018 E. 3.4).</w:t>
      </w:r>
    </w:p>
    <w:p>
      <w:r>
        <w:rPr>
          <w:b/>
        </w:rPr>
        <w:t>E. 6</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