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8C_482/2024 vom 3. Oktober 2024</w:t>
      </w:r>
    </w:p>
    <w:p>
      <w:r>
        <w:t>Bundesgericht, 2024-10-03, FR</w:t>
      </w:r>
    </w:p>
    <w:p>
      <w:r>
        <w:rPr>
          <w:b/>
        </w:rPr>
        <w:t xml:space="preserve">Quelle: </w:t>
      </w:r>
      <w:r>
        <w:t>https://mcp.opencaselaw.ch/entscheid/bger_8C_482_2024</w:t>
      </w:r>
    </w:p>
    <w:p>
      <w:r>
        <w:t>FR: TF 8C_482/2024 du 3 octobre 2024</w:t>
      </w:r>
    </w:p>
    <w:p>
      <w:r>
        <w:t>IT: TF 8C_482/2024 del 3 ottobre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Les juges cantonaux ont retenu que contrairement à ce que soutenait le recourant, l'emploi temporaire qui lui avait été assigné à B.________ était compatible avec son état de santé. Les documents médicaux qu'il avait présentés, sommaires et pas suffisamment circonstanciés, n'étaient pas probants. Au demeurant, l'activité envisagée n'impliquait pas nécessairement le port de charges lourdes ou des mouvements répétitifs, de sorte qu'elle était adaptée aux limitations fonctionnelles décrites par l'un de ses médecins. En outre, il était sans pertinence que l'emploi n'ait pas correspondu au secteur d'activité du recourant. En application des art. 64a et 16 LACI (RS 837.0), la juridiction cantonale en a conclu que le recourant avait refusé un emploi temporaire convenable, ce qui constituait un motif de suspension de son droit à l'indemnité de chômage en vertu de l' art. 30 al. 1 let . d LACI. Elle a confirmé la quotité de 21 jours de suspension décidée par l'intimé.</w:t>
      </w:r>
    </w:p>
    <w:p>
      <w:r>
        <w:rPr>
          <w:b/>
        </w:rPr>
        <w:t>E. 2.2</w:t>
      </w:r>
    </w:p>
    <w:p>
      <w:r>
        <w:t>Le recourant, qui se plaint de sa situation économique précaire, reproche à sa personne de contact auprès de B.________ d'avoir donné de fausses informations à l'Office régional de placement (ORP). Contrairement aux déclarations de cette personne, il se serait présenté chez l'employeur et n'aurait pas refusé le poste d'étalagiste. Il ajoute souffrir encore de séquelles consécutives à une agression subie en juin 2020, ce qui l'empêcherait de porter de lourdes charges avec son bras droit, de sorte que sa conseillère ORP aurait accepté d'annuler le PET. Ces critiques, purement appellatoires, sont irrecevables (cf. ATF 147 IV 73 consid. 4.1.2; 146 IV 114 consid. 2.1; 140 III 264 consid. 2.3). Pour le reste, le recours ne contient aucune critique suffisamment motivée à l'encontre de l'arrêt cantonal. Le recourant n'expose pas, même brièvement, en quoi l'acte attaqué violerait le droit. Le recours ne répond ainsi manifestement pas aux exigences de l' art. 42 al. 1 et 2 LTF . En tant qu'ils portent sur une autre décision (indéterminée) de suspension de son droit à l'indemnité de chômage pour une durée de quatre jours, les griefs du recourant sont exorbitants à l'objet de la contestation et s'avèrent donc également irrecevables.</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