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8C_481/2023 vom 8. September 2023</w:t>
      </w:r>
    </w:p>
    <w:p>
      <w:r>
        <w:t>Bundesgericht, 2023-09-08, DE</w:t>
      </w:r>
    </w:p>
    <w:p>
      <w:r>
        <w:rPr>
          <w:b/>
        </w:rPr>
        <w:t xml:space="preserve">Quelle: </w:t>
      </w:r>
      <w:r>
        <w:t>https://mcp.opencaselaw.ch/entscheid/bger_8C_481_2023</w:t>
      </w:r>
    </w:p>
    <w:p>
      <w:r>
        <w:t>FR: TF 8C_481/2023 du 8 septembre 2023</w:t>
      </w:r>
    </w:p>
    <w:p>
      <w:r>
        <w:t>IT: TF 8C_481/2023 del 8 settembre 2023</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wie vorliegend, gegen ein in Anwendung kantonalen Rechts ergangenes Urteil richten, ist demnach anhand der massgeblichen Erwägungen des kantonalen Urteils klar und detailliert darzulegen, welche verfassungsmässigen Rechte und inwiefern sie durch dieses Urteil verletzt sein sollen.</w:t>
      </w:r>
    </w:p>
    <w:p>
      <w:r>
        <w:rPr>
          <w:b/>
        </w:rPr>
        <w:t>E. 2</w:t>
      </w:r>
    </w:p>
    <w:p>
      <w:r>
        <w:t>Die Vorinstanz legte im angefochtenen Urteil vom 3. Juli 2023 in Auseinandersetzung mit den Parteivorbringen und in Würdigung der Akten ausführlich dar, weshalb die Beschwerdegegnerin die bisher ausgerichteten Sozialhilfegelder mit Wirkung ab dem 31. Januar 2023 einstellen durfte (Berücksichtigung des ausbezahlten Freizügigkeitsguthabens bei der Bedarfsbemessung).</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Insbesondere soweit der Beschwerdeführer das Bundesgesetz über die Ergänzungsleistungen zur AHV/IV anruft, lässt er offen, inwiefern dieses den Kantonen hinsichtlich der Sozialhilfe zwingende Vorgaben machen soll.</w:t>
      </w:r>
    </w:p>
    <w:p>
      <w:r>
        <w:rPr>
          <w:b/>
        </w:rPr>
        <w:t>E. 4</w:t>
      </w:r>
    </w:p>
    <w:p>
      <w:r>
        <w:t>Soweit der Beschwerdeführer die mit der Leistungseinstellung einhergehende, von der Vorinstanz bestätigte Weisung, sich um eine vollständig mit den Ergänzungsleistungen finanzierbare Wohnsituation zu bemühen, beanstandet, ist darauf nicht näher einzugehen. Denn es handelt sich dabei um einen vor Bundesgericht gegenwärtig (noch) nicht anfechtbaren Zwischenentscheid, dessen Anfechtung erst im Zuge eines allfälligen Leistungsverweigerungsentscheids offen stehen wird ( Art. 93 Abs. 3 BGG ; Näheres dazu, statt vieler: Urteil 8C_578/2022 vom 13. Oktober 2022).</w:t>
      </w:r>
    </w:p>
    <w:p>
      <w:r>
        <w:rPr>
          <w:b/>
        </w:rPr>
        <w:t>E. 5</w:t>
      </w:r>
    </w:p>
    <w:p>
      <w:r>
        <w:t>Da die Beschwerde offensichtlich ungenügend begründet bzw. unzulässig ist, führt dies zu einem Nichteintreten auf das Rechtsmittel im vereinfachten Verfahren nach Art. 108 Abs. 1 lit. a und b BGG .</w:t>
      </w:r>
    </w:p>
    <w:p>
      <w:r>
        <w:rPr>
          <w:b/>
        </w:rPr>
        <w:t>E. 6</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