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8C_481/2007 vom 5. März 2008</w:t>
      </w:r>
    </w:p>
    <w:p>
      <w:r>
        <w:t>Bundesgericht, 2008-03-05, DE</w:t>
      </w:r>
    </w:p>
    <w:p>
      <w:r>
        <w:rPr>
          <w:b/>
        </w:rPr>
        <w:t xml:space="preserve">Quelle: </w:t>
      </w:r>
      <w:r>
        <w:t>https://mcp.opencaselaw.ch/entscheid/bger_8C_481_2007</w:t>
      </w:r>
    </w:p>
    <w:p>
      <w:r>
        <w:t>FR: TF 8C_481/2007 du 5 mars 2008</w:t>
      </w:r>
    </w:p>
    <w:p>
      <w:r>
        <w:t>IT: TF 8C_481/2007 del 5 marzo 2008</w:t>
      </w:r>
    </w:p>
    <w:p>
      <w:pPr>
        <w:pStyle w:val="Heading2"/>
      </w:pPr>
      <w:r>
        <w:t>Erwägungen</w:t>
      </w:r>
    </w:p>
    <w:p>
      <w:r>
        <w:rPr>
          <w:b/>
        </w:rPr>
        <w:t>E. 1</w:t>
      </w:r>
    </w:p>
    <w:p>
      <w:r>
        <w:t>Beim angefochtenen Rückweisungsentscheid handelt es sich um einen - selbstständig eröffneten - Vor- oder Zwischenentscheid im Sinne von Art. 93 BGG ( BGE 133 V 477 E. 4.2 S. 481).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die Beschwerdeführerin günstigen Endentscheid nicht behoben werden kann (Urteile 4A_85/2007 vom 11. Juni 2007 E. 3.1 und 4A_92/2007 vom 8. Juni 2007 E. 2). Die Rückweisung der Sache an die Arbeitslosenkasse zu ergänzender oder weiterer Abklärung und neuer Entscheidung bewirkt in der Regel keinen nicht wieder gutzumachenden Nachteil ( BGE 133 V 477 E. 5.2.1 und 5.2.2 S. 483 sowie Urteil I 126/07 vom 6. August 2007 E. 1.2 [in BGE 133 V 504 nicht publiziert]), was von der Beschwerdeführerin auch nicht geltend gemacht wird. Gegen einen Zwischenentscheid ist die Beschwerde nach Art. 93 Abs. 1 lit. b BGG ferner zulässig, wenn die Gutheissung der Beschwerde sofort einen Endentscheid herbeiführt und damit einen bedeutenden Aufwand an Zeit oder Kosten für ein weitläufiges Verfahren erspart wird, was in der Beschwerde nicht dargetan und auch sonst nicht ersichtlich ist (Urteil vom 23. Oktober 2007 E. 2. [8C_224/2007]). Das im vorinstanzlichen Entscheid Angeordnete wird durch Beschwerde gegen den Endentscheid anfechtbar sein, soweit es sich auf dessen Inhalt auswirkt ( Art. 93 Abs. 3 BGG ). Die Eintretensvoraussetzungen von Art. 93 Abs. 1 lit. a und b BGG sind demnach nicht gegeben.</w:t>
      </w:r>
    </w:p>
    <w:p>
      <w:r>
        <w:rPr>
          <w:b/>
        </w:rPr>
        <w:t>E. 3</w:t>
      </w:r>
    </w:p>
    <w:p>
      <w:r>
        <w:t>Dem Ausgang des Verfahrens entsprechend hat der Beschwerdeführer die Gerichtskosten zu tragen ( Art. 66 Abs. 1 BGG ; BGE 133 V 637 ). Dem obsiegenden, anwaltlich vertretenen Beschwerdegegner steht eine dem Aufwand entsprechende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