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8C_47/2023 vom 14. Juni 2023</w:t>
      </w:r>
    </w:p>
    <w:p>
      <w:r>
        <w:t>Bundesgericht, 2023-06-14, FR</w:t>
      </w:r>
    </w:p>
    <w:p>
      <w:r>
        <w:rPr>
          <w:b/>
        </w:rPr>
        <w:t xml:space="preserve">Quelle: </w:t>
      </w:r>
      <w:r>
        <w:t>https://mcp.opencaselaw.ch/entscheid/bger_8C_47_2023</w:t>
      </w:r>
    </w:p>
    <w:p>
      <w:r>
        <w:t>FR: TF 8C_47/2023 du 14 juin 2023</w:t>
      </w:r>
    </w:p>
    <w:p>
      <w:r>
        <w:t>IT: TF 8C_47/2023 del 14 giugno 2023</w:t>
      </w:r>
    </w:p>
    <w:p>
      <w:pPr>
        <w:pStyle w:val="Heading2"/>
      </w:pPr>
      <w:r>
        <w:t>Erwägungen</w:t>
      </w:r>
    </w:p>
    <w:p>
      <w:r>
        <w:rPr>
          <w:b/>
        </w:rPr>
        <w:t>E. 1.1</w:t>
      </w:r>
    </w:p>
    <w:p>
      <w:r>
        <w:t>Le Tribunal fédéral examine d'office ( art. 29 al. 1 LTF ) et librement la recevabilité des recours qui lui sont soumis ( ATF 147 I 333 consid. 1; 145 II 168 ).</w:t>
      </w:r>
    </w:p>
    <w:p>
      <w:r>
        <w:rPr>
          <w:b/>
        </w:rPr>
        <w:t>E. 1.2</w:t>
      </w:r>
    </w:p>
    <w:p>
      <w:r>
        <w:t>L'arrêt entrepris concerne une contestation de nature pécuniaire en matière de rapports de travail de droit public, de sorte que le motif d'exclusion de l' art. 83 let . g LTF ne s'applique pas. La valeur litigieuse dépasse par ailleurs le seuil de 15'000 fr. ouvrant la voie au recours en matière de droit public en ce domaine ( art. 51 al. 1 let. a et al. 2; art. 85 al. 1 let. b LTF ). Pour le surplus, déposé en temps utile et dans les formes requises, le recours est recevable au regard des art. 42, 90 et 100 al. 1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sur la notion d'arbitraire, cf. ATF 145 V 513 consid. 4.2)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Le recourant ne saurait se borner à plaider à nouveau sa cause, contester les faits retenus ou rediscuter la manière dont ils ont été établis comme s'il s'adressait à une juridiction d'appel ( ATF 134 II 349 consid. 3). Le Tribunal fédéral n'entre ainsi pas en matière sur des critiques de type appellatoire portant sur l'état de fait ou sur l'appréciation des preuves ( ATF 140 V 213 consid. 2; 140 III 264 consid. 2.3).</w:t>
      </w:r>
    </w:p>
    <w:p>
      <w:r>
        <w:rPr>
          <w:b/>
        </w:rPr>
        <w:t>E. 2.2</w:t>
      </w:r>
    </w:p>
    <w:p>
      <w:r>
        <w:t>Sauf exception, la violation du droit cantonal ne peut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145 I 108 consid. 4.4.1; 142 III 153 consid. 2.5). Le Tribunal fédéral n'examine la violation de droits fondamentaux que si ce moyen est invoqué et motivé par le recourant de manière précise ( art. 106 al. 2 LTF ), c'est-à-dire s'il a été expressément soulevé et exposé de manière claire et détaillée.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w:t>
      </w:r>
    </w:p>
    <w:p>
      <w:r>
        <w:rPr>
          <w:b/>
        </w:rPr>
        <w:t>E. 3</w:t>
      </w:r>
    </w:p>
    <w:p>
      <w:r>
        <w:t>Dans une série de griefs d'ordre formel, la recourante se plaint de violations de son droit d'être entendue ( art. 29 al. 2 Cst. et art. 6 CEDH ).</w:t>
      </w:r>
    </w:p>
    <w:p>
      <w:r>
        <w:rPr>
          <w:b/>
        </w:rPr>
        <w:t>E. 3.1</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ATF 145 I 167 consid. 4.1 et les arrêts cités).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Par ailleurs, le droit d'être entendu ne comprend pas le droit d'être entendu oralement ni celui d'obtenir l'audition de témoins ( ATF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 L' art. 6 CEDH n'offre pas de protection plus étendue (arrêt 5A_750/2015 du 4 mars 2016 consid. 2 et les arrêts cités).</w:t>
      </w:r>
    </w:p>
    <w:p>
      <w:r>
        <w:rPr>
          <w:b/>
        </w:rPr>
        <w:t>E. 3.2</w:t>
      </w:r>
    </w:p>
    <w:p>
      <w:r>
        <w:t>La recourante se plaint du fait que la cour cantonale a refusé sa requête d'audition, sans toutefois motiver ce refus. De ce fait, les juges cantonaux auraient commis un déni de justice formel ( art. 29 al. 1 Cst. ). La recourante invoque en outre une violation de son droit d'être entendue et du principe de la bonne foi en lien avec le fait qu'elle a été suspendue de ses fonctions pendant la procédure de résiliation des rapports de service, sans qu'une enquête administrative soit réalisée: l'autorité aurait utilisé une mesure prévue par le droit cantonal de manière contraire à son but pour écarter une fonctionnaire.</w:t>
      </w:r>
    </w:p>
    <w:p>
      <w:r>
        <w:t>Comme le relève la recourante, l'instance précédente a bien pris note de sa demande de comparution personnelle des parties. Elle a cependant écarté ses demandes d'instructions supplémentaires au motif que le dossier contenait suffisamment d'éléments permettant de trancher le litige. La recourante n'allègue pas en quoi son audition, qu'elle sollicitait à l'appui d'allégués relatifs à sa situation familiale et à son appréciation de la situation, aurait été susceptible de modifier la conviction des juges cantonaux. Ensuite, et contrairement à ce que soutient la recourante, la cour cantonale a bel et bien examiné les griefs de violations de son droit d'être entendue et du principe de la bonne foi soulevés en lien avec l'absence d'enquête administrative. Elle a en effet considéré qu'il ne pouvait pas être reproché à l'intimé de ne pas avoir choisi la voie disciplinaire pour sanctionner les comportements de la recourante. Quant aux griefs matériels de la recourante à cet égard, ils seront examinés plus loin (cf. consid. 5 infra).</w:t>
      </w:r>
    </w:p>
    <w:p>
      <w:r>
        <w:rPr>
          <w:b/>
        </w:rPr>
        <w:t>E. 3.3</w:t>
      </w:r>
    </w:p>
    <w:p>
      <w:r>
        <w:t>Toujours sous couvert d'une violation de son droit d'être entendue, la recourante reproche aux juges cantonaux de ne pas lui avoir permis d'interroger les dix-huit demandeurs d'emploi contactés par l'intimé.</w:t>
      </w:r>
    </w:p>
    <w:p>
      <w:r>
        <w:t>A cet égard, les juges cantonaux ont considéré que les manquements retenus par l'intimé concernant les entretiens planifiés entre les 19 février et 18 mars 2021, qui n'auraient pas eu lieu aux dires de seize demandeurs d'emploi, ne représentaient qu'une petite partie des plus de cent cinquante reproches faits à la recourante. Le dossier contentait suffisamment d'éléments permettant de trancher le litige, si bien qu'il n'était pas nécessaire de donner suite aux mesures d'instructions supplémentaires sollicitées par la recourante.</w:t>
      </w:r>
    </w:p>
    <w:p>
      <w:r>
        <w:t>Dans la mesure où la recourante se limite à soutenir qu'une telle appréciation anticipée des preuves serait arbitraire, son argumentation ne répond pas aux exigences de motivation accrues posées par l' art. 106 al. 2 LTF . Son grief doit donc être écarté.</w:t>
      </w:r>
    </w:p>
    <w:p>
      <w:r>
        <w:rPr>
          <w:b/>
        </w:rPr>
        <w:t>E. 4.1</w:t>
      </w:r>
    </w:p>
    <w:p>
      <w:r>
        <w:t>Le litige porte sur le point de savoir si la cour cantonale a violé le droit fédéral en confirmant la résiliation des rapports de service.</w:t>
      </w:r>
    </w:p>
    <w:p>
      <w:r>
        <w:rPr>
          <w:b/>
        </w:rPr>
        <w:t>E. 4.2</w:t>
      </w:r>
    </w:p>
    <w:p>
      <w:r>
        <w:t>En sa qualité de fonctionnaire de l'État de Genève, la recourante est soumise à la loi genevoise générale du 4 décembre 1997 relative au personnel de l'administration cantonale, du pouvoir judiciaire et des établissements publics médicaux (RS/GE B 5 05; ci-après: LPAC). Cette loi prévoit notamment que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(art. 21 al. 3 LPAC). Selon l'art. 22 LPAC, il y a motif fondé lorsque la continuation des rapports de service n'est plus compatible avec le bon fonctionnement de l'administration, soit notamment en raison de: (a) l'insuffisance des prestations; (b) l'inaptitude à remplir les exigences du poste; (c) la disparition durable d'un motif d'engagement.</w:t>
      </w:r>
    </w:p>
    <w:p>
      <w:r>
        <w:t>La LPAC contient également des dispositions concernant la procédure pour les sanctions disciplinaires. L'art. 27 LPAC règle l'établissement des faits et prévoit que les dispositions de la loi sur la procédure administrative, du 12 septembre 1985, sont applicables, en particulier celles relatives à l'établissement des faits (al. 1). Le Conseil d'État, la commission de gestion du pouvoir judiciaire ou le conseil d'administration peut en tout temps ordonner l'ouverture d'une enquête administrative qu'il confie à une personne qui a les compétences requises; il doit le faire dans les hypothèses visées à l' art. 16 al. 1 let . c LPAC, à savoir notamment en cas de révocation (al. 2).</w:t>
      </w:r>
    </w:p>
    <w:p>
      <w:r>
        <w:t>En vertu de l'art. 28 LPAC, dans l'attente du résultat d'une enquête administrative ou d'une information pénale, le Conseil d'État, la commission de gestion du pouvoir judiciaire ou le conseil d'administration peut, de son propre chef ou à la demande de l'intéressé, suspendre provisoirement un membre du personnel auquel il est reproché une faute de nature à compromettre la confiance ou l'autorité qu'implique l'exercice de sa fonction (al. 1). Au sein de l'établissement, le président du conseil d'administration peut procéder, à titre provisionnel et sans délai, à la suspension de l'intéressé. Cette décision est notifiée par lettre motivée (al. 2). La suspension provisoire peut entraîner la suppression de toute prestation à la charge de l'État ou de l'établissement (al. 3). A l'issue de l'enquête administrative, il est veillé à ce que l'intéressé ne subisse aucun préjudice réel autre que celui qui découle de la décision finale; une décision de révocation avec effet immédiat peut cependant agir rétroactivement au jour de l'ouverture de l'enquête administrative (al. 4).</w:t>
      </w:r>
    </w:p>
    <w:p>
      <w:r>
        <w:rPr>
          <w:b/>
        </w:rPr>
        <w:t>E. 5.1</w:t>
      </w:r>
    </w:p>
    <w:p>
      <w:r>
        <w:t>La recourante invoque une application arbitraire des art. 27 et 28 LPAC, en tant que la suspension de ses fonctions n'aurait pas été suivie d'une enquête administrative. Cette manière de procéder aurait par ailleurs violé son droit d'être entendu. La recourante se réfère aux arrêts 8C_244/2014 du 17 mars 2015 (consid. 5.2) et 8C_221/2018 du 4 juillet 2019 (consid. 7.2), dans lesquels le Tribunal fédéral a jugé qu'il n'était, en principe, pas possible de se plaindre d'une violation du droit d'être entendu en raison de l'absence d'une enquête administrative lorsque l'autorité cantonale a choisi de résilier les rapports de service par un licenciement ordinaire en lieu et place d'une procédure disciplinaire. Elle soutient qu'en l'occurrence, cette jurisprudence ne serait pas applicable, puisque l'État aurait adopté un comportement contradictoire, en choisissant d'abord de suspendre le fonctionnaire pour pouvoir mener une enquête administrative, puis en renonçant à mener une telle enquête pour procéder à un licenciement ordinaire.</w:t>
      </w:r>
    </w:p>
    <w:p>
      <w:r>
        <w:rPr>
          <w:b/>
        </w:rPr>
        <w:t>E. 5.2</w:t>
      </w:r>
    </w:p>
    <w:p>
      <w:r>
        <w:t>On ne saurait suivre le raisonnement de la recourante.</w:t>
      </w:r>
    </w:p>
    <w:p>
      <w:r>
        <w:rPr>
          <w:b/>
        </w:rPr>
        <w:t>E. 5.2.1</w:t>
      </w:r>
    </w:p>
    <w:p>
      <w:r>
        <w:t>La LPAC prévoit différentes sanctions et mesures qui permettent à l'employeur de mettre un terme aux rapports de service. La loi cantonale distingue d'une part entre le licenciement pour motif fondé (art. 21 al. 3 et art. 22 LPAC), qui est une mesure administrative, et d'autre part la révocation, qui constitue une sanction disciplinaire ( art. 16 al. 1 let . c et al. 2 LPAC). En cas de révocation, la loi prévoit différentes garanties procédurales, telles que l'obligation d'ordonner une enquête administrative pour établir les faits (art. 27 al. 2 LPAC). Dans le cadre des sanctions disciplinaires, la loi prévoit en outre la possibilité de suspendre l'intéressé provisoirement de ses fonctions (art. 28 LPAC). Néanmoins, selon la jurisprudence cantonale, une suspension provisoire d'un fonctionnaire peut non seulement être justifiée par les besoins de l'enquête administrative, mais aussi en tant qu'exécution anticipée, à titre provisionnel, de la fin des rapports de service en raison d'une faute alléguée de nature à rompre la confiance qu'implique l'exercice de la fonction de l'intéressé (ATA/219/2022 du 1er mars 2022 consid. 6b et les arrêts cités). Dans ce dernier cas, la mesure n'est justifiée que si trois conditions sont remplies: 1) la faute reprochée à l'intéressé doit être de nature, a priori à justifier une cessation immédiate de l'exercice de sa fonction; 2) la prévention de faute à l'encontre de l'intéressé doit être suffisante, même si, s'agissant d'une mesure provisionnelle prise précisément pendant la durée d'une enquête administrative ou pénale, une preuve absolue ne peut évidemment pas être exigée; 3) la suspension doit apparaître comme globalement proportionnée, compte tenu de la situation de l'intéressé et des conséquences de sa suspension, de la gravité de la faute qui lui est reprochée, de la plus ou moins grande certitude quant à sa culpabilité ainsi que de l'intérêt de l'État à faire cesser immédiatement tant les rapports de service que, s'il y a lieu, ses propres prestations.</w:t>
      </w:r>
    </w:p>
    <w:p>
      <w:r>
        <w:rPr>
          <w:b/>
        </w:rPr>
        <w:t>E. 5.2.2</w:t>
      </w:r>
    </w:p>
    <w:p>
      <w:r>
        <w:t>En l'occurrence, les premiers juges ont considéré que les conditions jurisprudentielles pour suspendre la recourante de manière provisionnelle étaient remplies. Ils ont en effet retenu que les inscriptions que la recourante avaient faites dans PLASTA étaient fausses ou insuffisantes dans une majorité des dossiers qu'elle traitait, que la gravité de ces manquements avait été examinée, puis confirmée, et que l'intérêt public lié au placement des demandeurs d'emploi avait été pris en considération dans sa juste mesure par l'intimé.</w:t>
      </w:r>
    </w:p>
    <w:p>
      <w:r>
        <w:rPr>
          <w:b/>
        </w:rPr>
        <w:t>E. 5.2.3</w:t>
      </w:r>
    </w:p>
    <w:p>
      <w:r>
        <w:t>Dans son écriture, la recourante se borne à alléguer que la suspension d'un fonctionnaire ne serait possible que lorsqu'une enquête administrative est prévue, sans aucunement se confronter à la jurisprudence cantonale précitée, ni à son application par les juges cantonaux. Elle se contente ainsi de répéter sa position et d'opposer sa propre appréciation de la situation à celle de la cour cantonale sans pour autant démontrer l'arbitraire de celle-ci. En plus, on peine à comprendre son intérêt à contester la suspension de ses fonctions, dès lors que, compte tenu des faits établis et non contestés, la recourante a continué à percevoir son traitement pendant la période où elle a été suspendue et libérée de l'obligation de travailler. A juste titre, la recourante n'a d'ailleurs pas invoqué d'atteinte à ses intérêts économiques. En outre, comme le Tribunal fédéral a déjà eu l'occasion de le préciser dans ses arrêts 8C_244/2014 du 17 mars 2015 (consid. 5.2) et 8C_221/2018 du 4 juillet 2019 (consid. 7.2), il apparaît pour le moins paradoxal de voir une violation du droit d'être entendu dans le choix de l'employeur de mettre un terme aux rapports de service en procédant par un licenciement ordinaire plutôt que par une révocation, laquelle revêt un aspect de peine et a un caractère plus ou moins infamant. Cela vaut indépendamment d'une suspension préalable de l'employé, soit une mesure qui peut, comme on l'a vu ci-avant, aussi être ordonnée en cas de licenciement ordinaire. Il n'apparaît pas non plus que l'intimé aurait induit la recourante en erreur en lui faisant croire qu'il envisageait de mettre un terme au rapports de service par la voie de la révocation. En effet, selon les constatations de la cour cantonale, lors de l'entretien de service du 14 avril 2021, l'intimé a déjà indiqué à la recourante son intention de résilier les rapports de service pour motif fondé. Il a ensuite poursuivi les démarches qui s'imposent dans cette procédure et a en particulier recherché si un autre poste au sein de l'administration cantonale correspondait aux capacités de l'intéressée par le biais d'une procédure de reclassement. Mal fondé, le grief doit ainsi être rejeté.</w:t>
      </w:r>
    </w:p>
    <w:p>
      <w:r>
        <w:rPr>
          <w:b/>
        </w:rPr>
        <w:t>E. 6</w:t>
      </w:r>
    </w:p>
    <w:p>
      <w:r>
        <w:t>Dans un dernier grief, la recourante fait valoir que la décision de licenciement procéderait d'une application arbitraire du droit cantonal (art. 21 et 22 LPAC), car elle ne prendrait pas en compte sa surcharge de travail chronique, notamment pendant la crise sanitaire ( art. 9 Cst. ), et violerait le principe de la proportionnalité ( art. 5 al. 2 Cst. ).</w:t>
      </w:r>
    </w:p>
    <w:p>
      <w:r>
        <w:t>Par cette argumentation, la recourante n'expose pas en quoi la solution retenue par la cour cantonale serait insoutenable ou en contradiction manifeste avec la situation effective. Ce grief ne répond ainsi pas aux exigences de motivation accrues de l' art. 106 al. 2 LTF et doit être écarté. En tout état, on voit mal en quoi une surcharge de travail atténuerait les graves manquements par lesquels la recourante a abusé de la confiance et de l'autorité dont elle disposait dans sa fonction ou rétabliraient le lien de confiance ainsi rompu.</w:t>
      </w:r>
    </w:p>
    <w:p>
      <w:r>
        <w:rPr>
          <w:b/>
        </w:rPr>
        <w:t>E. 7</w:t>
      </w:r>
    </w:p>
    <w:p>
      <w:r>
        <w:t>Il s'ensuit que le recours doit être rejeté. La recourante,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