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8C_47/2013 vom 28. Oktober 2013</w:t>
      </w:r>
    </w:p>
    <w:p>
      <w:r>
        <w:t>Bundesgericht, 2013-10-28, FR</w:t>
      </w:r>
    </w:p>
    <w:p>
      <w:r>
        <w:rPr>
          <w:b/>
        </w:rPr>
        <w:t xml:space="preserve">Quelle: </w:t>
      </w:r>
      <w:r>
        <w:t>https://mcp.opencaselaw.ch/entscheid/bger_8C_47_2013</w:t>
      </w:r>
    </w:p>
    <w:p>
      <w:r>
        <w:t>FR: TF 8C_47/2013 du 28 octobre 2013</w:t>
      </w:r>
    </w:p>
    <w:p>
      <w:r>
        <w:t>IT: TF 8C_47/2013 del 28 ottobre 2013</w:t>
      </w:r>
    </w:p>
    <w:p>
      <w:pPr>
        <w:pStyle w:val="Heading2"/>
      </w:pPr>
      <w:r>
        <w:t>Erwägungen</w:t>
      </w:r>
    </w:p>
    <w:p>
      <w:r>
        <w:rPr>
          <w:b/>
        </w:rPr>
        <w:t>E. 1</w:t>
      </w:r>
    </w:p>
    <w:p>
      <w:r>
        <w:t>Le jugement entrepris a été rendu en matière de rapports de travail de droit public au sens de l' art. 83 let . g LTF. Il porte sur une contestation de nature pécuniaire, de sorte que le motif d'exclusion prévu par cette disposition n'entre pas en considération. Le seuil requis de la valeur litigieuse est par ailleurs largement dépassé ( art. 85 let. b LTF ). La voie du recours en matière de droit public selon les art. 82 ss LTF est donc ouverte pour contester la décision attaquée.</w:t>
      </w:r>
    </w:p>
    <w:p>
      <w:r>
        <w:rPr>
          <w:b/>
        </w:rPr>
        <w:t>E. 2</w:t>
      </w:r>
    </w:p>
    <w:p>
      <w:r>
        <w:t>Les premiers juges ont considéré que dans la procédure de révocation, le Conseil d'État avait doublement violé le droit d'être entendu du recourant. D'une part, il n'avait pas donné suite à sa demande d'entendre B.________, C.________ et D.________. D'autre part, il avait refusé de lui communiquer le premier rapport d'enquête. La juridiction cantonale a toutefois considéré qu'une annulation de la décision attaquée pour ces motifs ne se justifiait pas. En effet, l'apport à la procédure du premier rapport d'enquête, ainsi que les auditions par le juge délégué des trois personnes sus-nommées n'avaient pas apporté d'éléments déterminants pour l'issue du litige. La lecture dudit rapport n'avait révélé aucune différence substantielle avec le second rapport, ce dernier ne contenant que des ajouts au premier, liés au complément d'enquête. Le recourant avait eu la possibilité de se déterminer dans des conclusions après enquête, aussi efficacement qu'il aurait pu le faire avant le prononcé de l'arrêté du Conseil d'État. Par conséquent, quand bien même la juridiction cantonale n'était pas habilitée à revoir l'opportunité de la décision attaquée, un renvoi à l'autorité administrative aurait constitué une vaine formalité et retardé inutilement l'issue de la procédure. Par conséquent, les deux violations du droit d'être entendu retenues devaient être considérées comme réparées devant l'autorité judiciaire cantonale, en application du principe de l'économie de la procédure.</w:t>
      </w:r>
    </w:p>
    <w:p>
      <w:r>
        <w:rPr>
          <w:b/>
        </w:rPr>
        <w:t>E. 3.1</w:t>
      </w:r>
    </w:p>
    <w:p>
      <w:r>
        <w:t>Invoquant l' art. 29 al. 2 Cst. , le recourant soutient que les violations du droit d'être entendu constatées par la Cour de justice auraient nécessairement dû conduire celle-ci à renvoyer la cause au Conseil d'État. En effet, la Cour de justice n'est pas habilitée, selon le droit cantonal, à statuer en opportunité. Son pouvoir d'examen était donc plus étroit que celui du Conseil d'État. Une réparation des deux vices de procédure était d'emblée exclue.</w:t>
      </w:r>
    </w:p>
    <w:p>
      <w:r>
        <w:rPr>
          <w:b/>
        </w:rPr>
        <w:t>E. 3.2</w:t>
      </w:r>
    </w:p>
    <w:p>
      <w:r>
        <w:t>L'intimé soutient de son côté que c'est à tort que les premiers juges ont vu des violations du droit d'être entendu dans son refus de communiquer le rapport initial de l'enquêteur et dans le refus de celui-ci d'auditionner les trois personnes en question.</w:t>
      </w:r>
    </w:p>
    <w:p>
      <w:r>
        <w:rPr>
          <w:b/>
        </w:rPr>
        <w:t>E. 4.1</w:t>
      </w:r>
    </w:p>
    <w:p>
      <w:r>
        <w:t>En l'espèce, on peut effectivement se demander si le droit d'être entendu du recourant a été violé du seul fait que le Conseil d'État a refusé d'entendre ces trois personnes. En effet, le droit de faire administrer des preuves découlant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(voir par exemple ATF 136 I 229 consid. 5.3 p. 236 et les arrêts cités). Le refus d'une offre de preuve n'est donc pas nécessairement synonyme d'une violation du droit d'être entendu. Par ailleurs, on peut de la même manière se demander si le premier rapport de l'expert ne devait pas être considéré comme une pièce interne qui ne devait pas nécessairement être accessible, dans la mesure où il pouvait être considéré comme un pré-rapport ou un simple projet (voir cependant à ce sujet PIERRE MOOR/ ETIENNE POLTIER, Droit administratif, vol. II, 3</w:t>
      </w:r>
    </w:p>
    <w:p>
      <w:r>
        <w:t>ème éd. 2011, p. 327 s. et les auteurs cités). Les questions soulevées ici peuvent toutefois demeurer indécises.</w:t>
      </w:r>
    </w:p>
    <w:p>
      <w:r>
        <w:rPr>
          <w:b/>
        </w:rPr>
        <w:t>E. 4.2</w:t>
      </w:r>
    </w:p>
    <w:p>
      <w:r>
        <w:t>En effet,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 ATF 137 I 195 consid. 2.3.2 p. 197; 133 I 201 consid. 2.2 p. 204). Or la procédure administrative genevoise prévoit que le recours à la Cour de justice a un effet dévolutif complet et que celle-ci dispose d'un libre pouvoir d'examen en fait et en droit (cf. art. 61 et 66 ss de la loi genevoise sur la procédure administrative du 12 septembre 1985 [LPA/GE; RS/GE E 5 10]), permettant une réparation d'une violation du droit d'être entendu, comme le Tribunal fédéral a eu l'occasion de souligner à réitérées reprises dans plusieurs autres affaires genevoises (arrêts 2C_66/2013 du 7 mai 2013 consid. 3.2.3, 2D_46/2012 du 16 janvier 2013 consid. 4.2.2, 2D_47/2012 du 12 décembre 2012 consid. 3.2 et 2D_25/2012 du 6 novembre 2012 consid. 3.2.2). Par ailleurs, les irrégularités relevées par la juridiction cantonale n'atteignent pas le seuil de gravité qui aurait empêché celle-ci d'y remédier. Enfin, le recourant a eu accès au premier rapport de l'enquêteur. Les personnes dont il avait vainement demandé l'audition dans la procédure administrative ont été entendues. Le recourant s'est déterminé dans des conclusions motivées du 2 juillet 2012. Dans ces conditions, à supposer que le droit d'être entendu du recourant ait été violé, cette violation devrait être considérée comme valablement guérie devant la juridiction précédente.</w:t>
      </w:r>
    </w:p>
    <w:p>
      <w:r>
        <w:rPr>
          <w:b/>
        </w:rPr>
        <w:t>E. 4.3</w:t>
      </w:r>
    </w:p>
    <w:p>
      <w:r>
        <w:t>La présente affaire se distingue des arrêts 8C_449/2011 et 8C_53/2012, tous deux du 6 juin 2012, cités par le recourant. Dans ces affaires, il s'agissait de violations graves du droit d'être entendu ou au moins, pour l'une d'entre elle, d'une violation "d'une certaine gravité". La juridiction cantonale (le Tribunal cantonal jurassien) ne prétendait pas que le vice aurait pu être réparé dans la procédure judiciaire, compte tenu de sa jurisprudence en la matière (voir Revue jurassienne de jurisprudence [RJJ] 1995 p. 336 ss).</w:t>
      </w:r>
    </w:p>
    <w:p>
      <w:r>
        <w:rPr>
          <w:b/>
        </w:rPr>
        <w:t>E. 4.4</w:t>
      </w:r>
    </w:p>
    <w:p>
      <w:r>
        <w:t>En conclusion, le grief tiré d'une violation de l' art. 29 al. 2 Cst. se révèle mal fondé.</w:t>
      </w:r>
    </w:p>
    <w:p>
      <w:r>
        <w:rPr>
          <w:b/>
        </w:rPr>
        <w:t>E. 5</w:t>
      </w:r>
    </w:p>
    <w:p>
      <w:r>
        <w:t>o la révocation.</w:t>
      </w:r>
    </w:p>
    <w:p>
      <w:r>
        <w:rPr>
          <w:b/>
        </w:rPr>
        <w:t>E. 5.1</w:t>
      </w:r>
    </w:p>
    <w:p>
      <w:r>
        <w:t>Au chapitre des sanctions disciplinaires, l'art. 16 al. 1 de la loi générale relative au personnel de l'administration cantonale, du pouvoir judiciaire et des établissements publics médicaux du 4 décembre 1997 (LPAC; RS/GE B 5 05) prévoit ceci:</w:t>
      </w:r>
    </w:p>
    <w:p>
      <w:r>
        <w:t>1 Les fonctionnaires et les employés qui enfreignent leurs devoirs de service, soit intentionnellement soit par négligence, peuvent faire l'objet, selon la gravité de la violation, des sanctions suivantes:</w:t>
      </w:r>
    </w:p>
    <w:p>
      <w:r>
        <w:t>a) prononcé par le supérieur hiérarchique, en accord avec sa hiérarchie:</w:t>
      </w:r>
    </w:p>
    <w:p>
      <w:r>
        <w:t>1 o le blâme;</w:t>
      </w:r>
    </w:p>
    <w:p>
      <w:r>
        <w:t>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w:t>
      </w:r>
    </w:p>
    <w:p>
      <w:r>
        <w:t>2 o la suspension d'augmentation du traitement pendant une durée déterminée,</w:t>
      </w:r>
    </w:p>
    <w:p>
      <w:r>
        <w:t>3 o la réduction de traitement à l'intérieur de la classe;</w:t>
      </w:r>
    </w:p>
    <w:p>
      <w:r>
        <w:t>c) prononcées, à l'encontre d'un fonctionnaire, au sein de l'administration cantonale, par le Conseil d'État; au sein des services centraux et des greffes du pouvoir judiciaire, par la commission de gestion du pouvoir judiciaire; au sein de l'établissement par le conseil d'administration:</w:t>
      </w:r>
    </w:p>
    <w:p>
      <w:r>
        <w:t>4 o le retour au statut d'employé en période probatoire pour une durée maximale de 3 ans,</w:t>
      </w:r>
    </w:p>
    <w:p>
      <w:r>
        <w:rPr>
          <w:b/>
        </w:rPr>
        <w:t>E. 5.2</w:t>
      </w:r>
    </w:p>
    <w:p>
      <w:r>
        <w:t>Le recourant reproche aux premiers juges d'avoir appliqué arbitrairement cette disposition et violé le principe de proportionnalité en confirmant la révocation - qui plus est avec effet immédiat - prononcée par le Conseil d'État. Selon lui, la volonté de l'État de Genève de mettre un terme à son engagement reposait sur des motifs relevant de l'organisation du travail et des rapports interpersonnels entre un supérieur hiérarchique et ses subordonnés, plutôt que sur des motifs disciplinaires. Les circonstances du cas d'espèce étaient totalement différentes des cas dans lesquels la jurisprudence recourt à la sanction disciplinaire infamante qu'est la révocation.</w:t>
      </w:r>
    </w:p>
    <w:p>
      <w:r>
        <w:rPr>
          <w:b/>
        </w:rPr>
        <w:t>E. 5.3</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rPr>
          <w:b/>
        </w:rPr>
        <w:t>E. 5.4</w:t>
      </w:r>
    </w:p>
    <w:p>
      <w:r>
        <w:t>Dans le domaine des mesures disciplinaires, la révocation est certes la sanction la plus lourde. Elle est</w:t>
      </w:r>
    </w:p>
    <w:p>
      <w:r>
        <w:t>l'ultima ratio .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8C_203/2010 du 1</w:t>
      </w:r>
    </w:p>
    <w:p>
      <w:r>
        <w:t>er mars 2011 consid. 3.5).</w:t>
      </w:r>
    </w:p>
    <w:p>
      <w:r>
        <w:rPr>
          <w:b/>
        </w:rPr>
        <w:t>E. 5.5</w:t>
      </w:r>
    </w:p>
    <w:p>
      <w:r>
        <w:t>En l'espèce, il ressort des constatations du jugement attaqué que le recourant n'était à l'évidence pas apte à diriger un service de l'État. Il avait des difficultés à communiquer avec ses subordonnés. Ces difficultés se manifestaient par une incapacité à répondre posément - et même à répondre tout court - aux doléances de ses collaborateurs concernant notamment le mauvais fonctionnement du service ou la souffrance de certains d'entre eux. Il s'emportait souvent, au lieu d'adopter une attitude constructive et respectueuse de leur personnalité. Ses colères et ses emportements ont créé un climat de peur et un malaise qui ont gravement porté atteinte à la confiance nécessaire que les collaborateurs devaient avoir à l'égard de leur direction et qui ont été jusqu'à menacer la santé de certains d'entre eux. Ces lacunes graves dans la communication, ajoutées à une absence d'informations claires de l'intéressé sur ses présences et ses absences, à la rareté des séances du personnel, ont rendu difficile la collaboration entre les membres du service eux-mêmes et favorisé chez eux un sentiment d'isolement. L'organisation et la répartition du travail ont souffert de ces manquements, qui ont plongé certains employés dans un véritable désarroi quant à leur mission, ainsi qu'à une sous-occupation de collaborateurs nouvellement engagés, ce qui a nui gravement aux intérêts de l'État.</w:t>
      </w:r>
    </w:p>
    <w:p>
      <w:r>
        <w:t>Ces faits vont nettement au-delà d'un simple conflit relationnel entre un employé et son supérieur hiérarchique ou d'un problème d'organisation du travail. Il convient de souligner, par ailleurs, que le recourant exerçait une fonction dirigeante. A cela s'ajoute que le comportement répréhensible s'est étendu sur une assez longue période. En retenant que les faits en question relevaient de la voie disciplinaire et qu'ils étaient suffisamment graves pour justifier une révocation, les premiers juges n'ont pas fait une application insoutenable de l'art. 16 LPAC. Le principe de proportionnalité, qui se confond ici avec le grief d'arbitraire (cf. ATF 134 I 153 consid. 4.3 p. 158), n'a dès lors pas été violé. Quant au caractère immédiat de la révocation, il est inhérent à ce type de mesure et il n'apparaît en tout cas pas non plus critiquable sous l'angle de l'arbitraire.</w:t>
      </w:r>
    </w:p>
    <w:p>
      <w:r>
        <w:rPr>
          <w:b/>
        </w:rPr>
        <w:t>E. 6</w:t>
      </w:r>
    </w:p>
    <w:p>
      <w:r>
        <w:t>Vu ce qui précède, le recours se révèle mal fondé.</w:t>
      </w:r>
    </w:p>
    <w:p>
      <w:r>
        <w:t>Le recourant, qui succombe, supportera les frais judiciaires ( art. 66 al. 1 LTF ). Bien qu'obtenant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