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8C_479/2024 vom 16. September 2024</w:t>
      </w:r>
    </w:p>
    <w:p>
      <w:r>
        <w:t>Bundesgericht, 2024-09-16, DE</w:t>
      </w:r>
    </w:p>
    <w:p>
      <w:r>
        <w:rPr>
          <w:b/>
        </w:rPr>
        <w:t xml:space="preserve">Quelle: </w:t>
      </w:r>
      <w:r>
        <w:t>https://mcp.opencaselaw.ch/entscheid/bger_8C_479_2024</w:t>
      </w:r>
    </w:p>
    <w:p>
      <w:r>
        <w:t>FR: TF 8C_479/2024 du 16 septembre 2024</w:t>
      </w:r>
    </w:p>
    <w:p>
      <w:r>
        <w:t>IT: TF 8C_479/2024 del 16 settembre 2024</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19. Juni 2024in Auseinandersetzung mit den Parteivorbringen und in Würdigung der Akten einlässlich dar, weshalb die Beschwerdegegnerin mit Einspracheentscheid vom 7. Juli 2023 das ursprünglich am 29. Juli 2019 Verfügte (Einstellung der Taggeld- und Heilkostenleistungen per 31. Juli 2019 ohne Rentenzusprache; Gewährung einer Integritätsentschädigung auf der Basis eines Integritätsschadens von 10 %) bestätigen durfte. Demnach habe die Beschwerdegegnerin auf die vom kantonalen Gericht im Rückweisungsurteil vom 2. März 2021 angeordneten weiteren Abklärungen zufolge (wiederholter) schuldhafter Verletzung der Mitwirkungspflicht durch den Beschwerdeführer nach durchgeführtem Mahn- und Bedenkzeitverfahren verzichten und auf der Grundlage der vorhandenen Akten entscheiden dürfen.</w:t>
      </w:r>
    </w:p>
    <w:p>
      <w:r>
        <w:rPr>
          <w:b/>
        </w:rPr>
        <w:t>E. 3</w:t>
      </w:r>
    </w:p>
    <w:p>
      <w:r>
        <w:t>Der Beschwerdeführer zeigt in seiner umfangreichen Eingabe vom 26. August 2024 (Poststempel)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den Gesundheits- und Geschehensablauf aus eigener Sicht zu schildern und das vom kantonalen Gericht dazu Erwogene als nicht nachvollziehbar zu rügen,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