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8C_478/2023 vom 7. September 2023</w:t>
      </w:r>
    </w:p>
    <w:p>
      <w:r>
        <w:t>Bundesgericht, 2023-09-07, DE</w:t>
      </w:r>
    </w:p>
    <w:p>
      <w:r>
        <w:rPr>
          <w:b/>
        </w:rPr>
        <w:t xml:space="preserve">Quelle: </w:t>
      </w:r>
      <w:r>
        <w:t>https://mcp.opencaselaw.ch/entscheid/bger_8C_478_2023</w:t>
      </w:r>
    </w:p>
    <w:p>
      <w:r>
        <w:t>FR: TF 8C_478/2023 du 7 septembre 2023</w:t>
      </w:r>
    </w:p>
    <w:p>
      <w:r>
        <w:t>IT: TF 8C_478/2023 del 7 settembre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Mit Urteil vom 31. Mai 2023 hat die Vorinstanz dargelegt, dass der Beschwerdeführer eine zumutbare Arbeit bzw. eine arbeitsmarktliche Massnahme ohne entschuldbaren Grund abgelehnt habe. Dabei hat sie die Aktenlage gewürdigt und sich mit den Parteivorbringen auseinandergesetzt. Sie ist schliesslich davon ausgegangen, dass die von der Verwaltung angeordneten 21 Einstelltage gerechtfertigt und angemessen seien. In der Folge hat sie den Einspracheentscheid vom 28. Juli 2022 bestätigt.</w:t>
      </w:r>
    </w:p>
    <w:p>
      <w:r>
        <w:rPr>
          <w:b/>
        </w:rPr>
        <w:t>E. 3</w:t>
      </w:r>
    </w:p>
    <w:p>
      <w:r>
        <w:t>Mehrheitlich wiederholt der Beschwerdeführer die Vorbringen der vorinstanzlichen Beschwerdeschrift wörtlich, ohne sich mit den entsprechenden Erwägungen des kantonalen Gerichts auseinanderzusetzen. Auf diese Rügen ist von vornherein nicht einzugehen ( Art. 42 Abs. 2 BGG ; vgl. BGE 145 V 161 E. 5.2). Darüber hinaus zeigt der Beschwerdeführer nicht auf, inwiefern das kantonale Gericht bei der Erhebung des Sachverhalts mit offensichtlich unrichtigen Feststellungen in Willkür verfallen sein (dazu Näheres: BGE 146 IV 88 E. 1.3.1 f.; 140 III 115 E. 2; je mit Hinweisen) oder, auch mit Blick auf die rechtliche Würdigung, einen anderen Beschwerdegrund (vgl. Art. 95 BGG ) gesetzt haben sollte. Indem er Gesetzesartikel nennt und geltend macht, diese seien in seinem Fall nicht anwendbar, geht er nicht in der geforderten Weise (vgl. E. 1 oben) auf das von der Vorinstanz dazu Erkannte ein.</w:t>
      </w:r>
    </w:p>
    <w:p>
      <w:r>
        <w:rPr>
          <w:b/>
        </w:rPr>
        <w:t>E. 4</w:t>
      </w:r>
    </w:p>
    <w:p>
      <w:r>
        <w:t>Da dieser Begründungsmangel offensichtlich ist, führt dies zu einem Nichteintreten auf das Rechtsmittel im vereinfachten Verfahren nach Art. 108 Abs. 1 lit. b BGG .</w:t>
      </w:r>
    </w:p>
    <w:p>
      <w:r>
        <w:rPr>
          <w:b/>
        </w:rPr>
        <w:t>E. 5</w:t>
      </w:r>
    </w:p>
    <w:p>
      <w:r>
        <w:t>Das in der Beschwerdeschrift gestellte Gesuch um unentgeltliche Rechtspflege ist wegen aussichtsloser Beschwerdeführung abzuweisen ( Art. 64 Abs. 1 BGG ).</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