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8C_478/2016 vom 7. Oktober 2016</w:t>
      </w:r>
    </w:p>
    <w:p>
      <w:r>
        <w:t>Bundesgericht, 2016-10-07, DE</w:t>
      </w:r>
    </w:p>
    <w:p>
      <w:r>
        <w:rPr>
          <w:b/>
        </w:rPr>
        <w:t xml:space="preserve">Quelle: </w:t>
      </w:r>
      <w:r>
        <w:t>https://mcp.opencaselaw.ch/entscheid/bger_8C_478_2016</w:t>
      </w:r>
    </w:p>
    <w:p>
      <w:r>
        <w:t>FR: TF 8C_478/2016 du 7 octobre 2016</w:t>
      </w:r>
    </w:p>
    <w:p>
      <w:r>
        <w:t>IT: TF 8C_478/2016 del 7 ottobre 2016</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2.1</w:t>
      </w:r>
    </w:p>
    <w:p>
      <w:r>
        <w:t>Die Beschwerde an das Bundesgericht ist innert der Beschwerdefrist ( Art. 100 BGG ) mit Antrag, Begründung und Angabe der Beweismittel ( Art. 42 Abs. 1 BGG ) einzureichen. Ein zweiter Schriftenwechsel findet nur ausnahmsweise auf Anordnung des Gerichts statt ( Art. 102 Abs. 3 BGG ). Die Rechtsprechung hat darüber hinaus aus Art. 6 Ziff. 1 EMRK und Art. 29 Abs. 1 BV ein Recht auf Replik abgeleitet, das aber nur darin besteht, sich zu den von der Gegenpartei eingereichten Stellungnahmen zu äussern (sog. unbedingtes Replikrecht: BGE 139 I 189 E. 3.2 S. 191 f. ; 138 I 154 E. 2.3.3 S. 157 und 484 E. 2.1 S. 485). Namentlich gewährt dieses Recht keinen Anspruch darauf, ausserhalb der Beschwerdefrist Aspekte vorzutragen, die bereits mit der Beschwerde hätten vorgebracht werden können (Urteil 8C_131/2011 vom 5. Juli 2011 mit Hinweis).</w:t>
      </w:r>
    </w:p>
    <w:p>
      <w:r>
        <w:rPr>
          <w:b/>
        </w:rPr>
        <w:t>E. 2.2</w:t>
      </w:r>
    </w:p>
    <w:p>
      <w:r>
        <w:t>Das Bundesgericht hat im vorliegenden Verfahren gemäss der Regel des Art. 102 Abs. 3 BGG keinen doppelten Schriftenwechsel angeordnet. Die am 13. September 2016 unaufgefordert erstattete Replik des Beschwerdeführers vermag sich auch nicht auf die soeben dargelegte Rechtsprechung zu stützen. Denn weder die Vorinstanz noch die Beschwerdegegnerin haben sich in ihren Eingaben nochmals vernehmen lassen, sondern einzig auf die Erwägungen des angefochtenen Entscheids verwiesen. Dass sie dabei die Vorbringen des Beschwerdeführers nicht ausdrücklich bestritten haben, nimmt das Bundesgericht so zur Kenntnis. Darüber hinaus ist der Beschwerdeführer mit seiner unaufgeforderten Eingabe nicht zu hören, umso weniger, als es ihm ohne weiteres möglich gewesen wäre, deren Inhalt bereits innerhalb der Beschwerdefrist vorzutragen.</w:t>
      </w:r>
    </w:p>
    <w:p>
      <w:r>
        <w:rPr>
          <w:b/>
        </w:rPr>
        <w:t>E. 3.1</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w:t>
      </w:r>
    </w:p>
    <w:p>
      <w:r>
        <w:t>Die Verletzung von Grundrechten und von kantonalem und interkantonalem Recht prüft das Bundesgericht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 S. 41 mit Hinweisen).</w:t>
      </w:r>
    </w:p>
    <w:p>
      <w:r>
        <w:rPr>
          <w:b/>
        </w:rPr>
        <w:t>E. 3.2</w:t>
      </w:r>
    </w:p>
    <w:p>
      <w:r>
        <w:t>Im verwaltungsgerichtlichen Beschwerdeverfahren sind grundsätzlich nur Rechtsverhältnisse zu überprüfen,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134 V 418 E. 5.2.1 S. 426; 131 V 164 E. 2.1; 125 V 413 E. 1a S. 414).</w:t>
      </w:r>
    </w:p>
    <w:p>
      <w:r>
        <w:rPr>
          <w:b/>
        </w:rPr>
        <w:t>E. 4.1</w:t>
      </w:r>
    </w:p>
    <w:p>
      <w:r>
        <w:t>Der angefochtene Entscheid lautet zum einen auf Nichteintreten, zum andern auf Verfahrenserledigung zufolge Gegenstandslosigkeit: Ersteres bezieht sich auf das mit der vorinstanzlichen Beschwerde verbundene Leistungsbegehren, wobei der Beschwerdeführer - ohne sich im Einzelnen festzulegen - einerseits auf Taggeldzahlungen während der Durchführung von Eingliederungsmassnahmen, anderseits auf Rentenleistungen abzuzielen schien. Gegenstandslosigkeit hat sich laut Erwägungen des kantonalen Gerichts aufgrund der mit Vorbescheid in Aussicht gestellten Rentenzusprache insoweit ergeben, als der Beschwerdeführer dem Sinne nach eine Rechtsverweigerung geltend machte.</w:t>
      </w:r>
    </w:p>
    <w:p>
      <w:r>
        <w:rPr>
          <w:b/>
        </w:rPr>
        <w:t>E. 4.2</w:t>
      </w:r>
    </w:p>
    <w:p>
      <w:r>
        <w:t>Streitig ist die vorinstanzliche Verfahrensweise: Der Beschwerdeführer bringt im Wesentlichen vor, dass es nicht einfach nur um Rechtsverweigerung gegangen sei, sondern ganz offensichtlich um einen Leistungsstreit, der als solcher zu behandeln gewesen wäre. Denn die Beschwerdegegnerin habe ganz offensichtlich jegliche Leistungen abgelehnt. Im Übrigen sei die Leistungsverfügung immer noch nicht erlassen. Davon abgesehen habe die Vorinstanz gegen die gebotene Verfahrensfairness verstossen, weil er sich zur Eingabe der Beschwerdegegnerin vom 6. Mai 2016 nicht habe äussern können. Damit sei sein Replikrecht vereitelt worden, was Art. 6 EMRK sowie Art. 29 f. BV verletze.</w:t>
      </w:r>
    </w:p>
    <w:p>
      <w:r>
        <w:rPr>
          <w:b/>
        </w:rPr>
        <w:t>E. 4.3.1</w:t>
      </w:r>
    </w:p>
    <w:p>
      <w:r>
        <w:t>Die vorinstanzliche Beschwerde erging im Anschluss an und bezogen auf die Mitteilung vom 8. Januar 2016, mit der die Verwaltung Frühinterventionsmassnahmen in Form von Support am Arbeitsplatz zusagte. Ob es sich dabei um eine im formlosen Verfahren nach Art. 51 ATSG erlassene Anordnung handelt (vgl. Art. 74ter+ quater IVV), scheint fraglich, zumal auf Massnahmen der Frühintervention von Gesetzes wegen kein Rechtsanspruch besteht ( Art. 7d Abs. 3 IVG ) und in diesem Zusammenhang auch keine akzessorischen Leistungen zur Ausrichtung gelangen (vgl. Rz. 3003 des Kreisschreibens über die Früherfassung und die Frühintervention [KSFEFI], gültig ab 1. Januar 2015). So oder anders: Klar ist jedenfalls, dass die betreffende Mitteilung bereits in formeller Hinsicht keine Verfügungsmerkmale ( Art. 49 ATSG ) aufweist und schon aus diesem Grund nicht zum Anfechtungsgegenstand eines gerichtlichen Beschwerdeverfahrens erhoben werden kann (vgl. BGE 134 V 145 E. 3.2 S. 147 f.).</w:t>
      </w:r>
    </w:p>
    <w:p>
      <w:r>
        <w:rPr>
          <w:b/>
        </w:rPr>
        <w:t>E. 4.3.2</w:t>
      </w:r>
    </w:p>
    <w:p>
      <w:r>
        <w:t>Aber auch in materieller Hinsicht lag mit der Mitteilung vom 8. Januar 2016 keine Verfügung vor, insbesondere keine solche, die auf Seiten des Beschwerdeführers ein schutzwürdiges Rechtsschutzinteresse begründet hätte. Davon abgesehen, dass es über Frühinterventionsmassnahmen nichts zu verfügen gibt (vgl. Art. 7 Abs. 3 IVG ), wurde damit - entgegen seiner Auffassung - namentlich keine verbindliche Anordnung über den Nichtbestand eines Leistungsanspruchs auf Taggelder oder Invalidenrente getroffen. Getreu dem Grundsatz "Eingliederung statt Rente" stand damals im Rahmen der Frühintervention gerade nicht die Rentenfrage, sondern der Erhalt des bestehenden Arbeitsplatzes im Vordergrund (vgl. Art. 7d Abs. 1 IVG und E. 4.3.1 hievor). Der Erlass einer förmlichen Verfügung, sei es über die Gewährung oder Verweigerung von Eingliederungsmassnahmen (inklusive Taggelder), sei es darüber, dass kein Rentenanspruch bestehe, erfolgt diesfalls erst mit der Beendigung der Frühinterventionsphase, in deren Verlauf auch die Rentenfrage zu klären ist (vgl. Art. 1septies IVV und BGE 137 V 351 E. 4.2 S. 357 f.). Letzteres ist denn auch im Fall des Beschwerdeführers geschehen, wie sich ohne weiteres aus dem am 3. Mai 2016 gestützt auf Art. 57a Abs. 1 IVG erlassenen Vorbescheid ergibt. Damit hat ihm die Verwaltung die Möglichkeit für allfällige Einwendungen gegen die Leistungsfestsetzung eröffnet; schliesslich wäre die darauf folgende Verfügung (bei gegebenem aktuellen Rechtsschutzinteresse) beim kantonalen Gericht anfechtbar gewesen.</w:t>
      </w:r>
    </w:p>
    <w:p>
      <w:r>
        <w:rPr>
          <w:b/>
        </w:rPr>
        <w:t>E. 4.4</w:t>
      </w:r>
    </w:p>
    <w:p>
      <w:r>
        <w:t>Nach dem Gesagten lässt sich aus Sicht des Bundesrechts nicht beanstanden, wenn die Vorinstanz das vom Beschwerdeführer angehobene Verfahren nicht als Leistungsstreit behandelt hat und in diesem Punkt mangels Anfechtungsgegenstandes (vgl. E. 3.2 hievor) auf seine Beschwerde nicht eingetreten ist. Dass sie das Verfahren im Übrigen unter dem Gesichtspunkt der formellen Rechtsverweigerung ( Art. 56 Abs. 2 ATSG ) an Hand genommen und es nach Vorliegen des Vorbescheides - gemäss entsprechendem Begehren des Beschwerdeführers vom 4. Mai 2016 - als gegenstandslos abgeschrieben hat, wird in der Beschwerde vorbehältlich der gerügten Verletzung des Replikrechts (vgl. E. 5 hienach) nicht substanziiert beanstandet. Insbesondere legt der Beschwerdeführer nicht dar, dass die Vorinstanz deswegen bundesrechtswidrig verfahren wäre. Erst recht fehlt es an einer hinreichend begründeten Rüge, dass kantonales Verfahrensrecht in willkürlicher oder grundrechtswidriger Weise angewendet worden wäre.</w:t>
      </w:r>
    </w:p>
    <w:p>
      <w:r>
        <w:rPr>
          <w:b/>
        </w:rPr>
        <w:t>E. 5.1</w:t>
      </w:r>
    </w:p>
    <w:p>
      <w:r>
        <w:t>Zu prüfen bleibt die geltend gemachte Vereitelung des Replikrechts (vgl. E. 4.2 hievor). In diesem Zusammenhang hat das kantonale Gericht dem Beschwerdeführer auf Anfrage hin bestätigt, ihm die Eingabe der Verwaltung vom 6. Mai 2016 versehentlich nicht zugestellt zu haben. Mit dieser legte die Beschwerdegegnerin die seit ihrer Vernehmlassung vom 4. März 2016 angefallenen neuen Akten auf, unter anderem das Verlaufsprotokoll sowie den am 3. Mai 2016 erlassenen Vorbescheid, den der Beschwerdeführer seinerseits bereits eingereicht hatte.</w:t>
      </w:r>
    </w:p>
    <w:p>
      <w:r>
        <w:rPr>
          <w:b/>
        </w:rPr>
        <w:t>E. 5.2.1</w:t>
      </w:r>
    </w:p>
    <w:p>
      <w:r>
        <w:t>Wie erwähnt (vgl. E. 2.1 hievor), steht den Parteien eines Gerichtsverfahrens gemäss Art. 29 Abs. 1 und 2 BV sowie Art. 6 Abs. 1 EMRK ein unbedingtes Replikrecht zu. Das heisst, sie haben einen unbedingten verfassungsmässigen Anspruch darauf, zu sämtlichen Eingaben der Gegenpartei Stellung zu nehmen, falls sie dies wünschen ( BGE 139 I 189 E. 3.2 S. 191 f. ; 138 I 154 E. 2.3.3 S. 157 und 484 E. 2.1 S. 485 ; 137 I 195 E. 2.3.1 S. 197 ; 133 I 100 E. 4.3-4.7 S. 102 ff.). Dieser Anspruch besteht unabhängig davon, ob die betreffende Eingabe neue oder wesentliche Vorbringen enthält. Dementsprechend muss das Gericht die vor Erlass seines Urteils eingegangenen Vernehmlassungen den Beteiligten zustellen, damit diese sich darüber schlüssig werden können, ob sie sich dazu äussern wollen oder nicht ( BGE 137 I 195 E. 2.3.1 S. 197).</w:t>
      </w:r>
    </w:p>
    <w:p>
      <w:r>
        <w:rPr>
          <w:b/>
        </w:rPr>
        <w:t>E. 5.2.2.1</w:t>
      </w:r>
    </w:p>
    <w:p>
      <w:r>
        <w:t>Der genannten Verpflichtung ist das kantonale Gericht zugestandenermassen nicht nachgekommen. Dennoch vermag die Berufung auf eine Verletzung des Replikrechts im vorliegenden Fall nicht zu verfangen. Die Grundrechte müssen - wie auch der EGMR stets betont - nicht theoretisch und abstrakt, sondern konkret und effektiv geschützt werden ( BGE 138 I 154 E. 2.8 S. 159 f. mit Hinweis auf das Urteil des EGMR Schlumpf gegen Schweiz vom 8. Januar 2009 [29002/06], § 57, mit weiteren Hinweisen). Das Recht auf Kenntnisnahme von und Stellungnahme zu Eingaben der übrigen Verfahrensbeteiligten dient dem fairen Verfahren in dem Sinne, dass die Verfahrensparteien die Möglichkeit haben, sich substanziell zu Vorbringen der Gegenpartei zu äussern. Das blosse Beharren darauf, das letzte Wort zu haben, ohne dass damit eine effektive Rechtswahrnehmung verbunden wäre, ist demgegenüber nicht schutzwürdig (BGE a.a.O. E. 2.8 S. 160 mit Hinweis; Urteil 9C_815/2015 vom 8. August 2016 E. 2).</w:t>
      </w:r>
    </w:p>
    <w:p>
      <w:r>
        <w:rPr>
          <w:b/>
        </w:rPr>
        <w:t>E. 5.2.2.2</w:t>
      </w:r>
    </w:p>
    <w:p>
      <w:r>
        <w:t>Der Beschwerdeführer macht weder hinreichend geltend noch lässt sich ersehen, welche rechtserheblichen Umstände er im gegebenen Verfahrensstadium noch hätte vorbringen wollen oder können: Wie gezeigt, lagen im vorinstanzlichen Verfahren keine Leistungsansprüche im Streit, sondern es ging einzig um die Frage der formellen Rechtsverzögerung bzw. -verweigerung. Die Feststellungen des RAD zum Eintritt der Arbeitsunfähigkeit konnten daher für das kantonale Gericht in keiner Weise von Belang sein. Welche "viele weitere gute Argumente" der Beschwerdeführer daraus hätte gewinnen können, begründet er nicht ansatzweise. Davon abgesehen fällt vor allem auf, dass er seinerseits die Vorinstanz zwei Tage zuvor mit dem Vorbescheid bedient und sie um Abschreibung des Verfahrens sowie um Zusprache einer Parteientschädigung ersucht hatte. Dass und weshalb bei dieser Sachlage ein Rückkommen auf diese Prozesserklärung, nicht zuletzt im Lichte des Gebotes von Treu und Glauben, noch möglich gewesen wäre, legt der Beschwerdeführer nicht dar. Insgesamt erscheint die zu einer leeren Formalität führende, keinen Rechtsschutz verdienende Berufung auf das Replikrecht geradezu rechtsmissbräuchlich (vgl. in BGE 139 II 223 nicht publ. E. 4.3.2 des Urteils 2C_978/2012, 2C_979/2012 vom 4. Mai 2013; Urteile 9C_815/2015 vom 8. August 2016 E. 2 und 5A_825/2012 vom 17. April 2013 E. 3.3).</w:t>
      </w:r>
    </w:p>
    <w:p>
      <w:r>
        <w:rPr>
          <w:b/>
        </w:rPr>
        <w:t>E. 6</w:t>
      </w:r>
    </w:p>
    <w:p>
      <w:r>
        <w:t>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